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7491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  <w:bookmarkStart w:id="0" w:name="_Hlk69386296"/>
    </w:p>
    <w:p w14:paraId="13F68A84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6F163154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66EFF701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26FDED1A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6E44FA37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January 2023</w:t>
      </w:r>
    </w:p>
    <w:p w14:paraId="674014FA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2071A48C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42C24DA6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3329BB63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630695E3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0EB105E7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383C19A1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ab/>
      </w:r>
    </w:p>
    <w:p w14:paraId="74AFFD7E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1E9CB9F8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</w:p>
    <w:p w14:paraId="7D9727D8" w14:textId="77777777" w:rsidR="00B17153" w:rsidRPr="00B17153" w:rsidRDefault="00B17153" w:rsidP="00B17153">
      <w:pPr>
        <w:ind w:firstLine="0"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ab/>
        <w:t xml:space="preserve">Here </w:t>
      </w:r>
      <w:proofErr w:type="gramStart"/>
      <w:r w:rsidRPr="00B17153">
        <w:rPr>
          <w:rFonts w:eastAsia="Calibri"/>
          <w:lang w:bidi="ar-SA"/>
        </w:rPr>
        <w:t>are</w:t>
      </w:r>
      <w:proofErr w:type="gramEnd"/>
      <w:r w:rsidRPr="00B17153">
        <w:rPr>
          <w:rFonts w:eastAsia="Calibri"/>
          <w:lang w:bidi="ar-SA"/>
        </w:rPr>
        <w:t xml:space="preserve"> selected year to date return numbers through the end of December.  </w:t>
      </w:r>
    </w:p>
    <w:p w14:paraId="2AE097FC" w14:textId="77777777" w:rsidR="00B17153" w:rsidRPr="00B17153" w:rsidRDefault="00B17153" w:rsidP="00B17153">
      <w:pPr>
        <w:spacing w:line="276" w:lineRule="auto"/>
        <w:ind w:firstLine="0"/>
        <w:contextualSpacing/>
        <w:rPr>
          <w:rFonts w:eastAsia="Calibri"/>
          <w:lang w:bidi="ar-SA"/>
        </w:rPr>
      </w:pPr>
    </w:p>
    <w:p w14:paraId="0533649C" w14:textId="77777777" w:rsidR="00B17153" w:rsidRPr="00B17153" w:rsidRDefault="00B17153" w:rsidP="00B17153">
      <w:pPr>
        <w:spacing w:line="276" w:lineRule="auto"/>
        <w:ind w:firstLine="0"/>
        <w:contextualSpacing/>
        <w:rPr>
          <w:rFonts w:eastAsia="Calibri"/>
          <w:lang w:bidi="ar-SA"/>
        </w:rPr>
      </w:pPr>
    </w:p>
    <w:p w14:paraId="1FA761C8" w14:textId="77777777" w:rsidR="00B17153" w:rsidRPr="00B17153" w:rsidRDefault="00B17153" w:rsidP="00B17153">
      <w:pPr>
        <w:spacing w:line="276" w:lineRule="auto"/>
        <w:ind w:firstLine="0"/>
        <w:contextualSpacing/>
        <w:rPr>
          <w:rFonts w:eastAsia="Calibri"/>
          <w:lang w:bidi="ar-SA"/>
        </w:rPr>
      </w:pPr>
      <w:r w:rsidRPr="00B17153">
        <w:rPr>
          <w:rFonts w:eastAsia="Calibri"/>
          <w:b/>
          <w:lang w:bidi="ar-SA"/>
        </w:rPr>
        <w:t xml:space="preserve"> </w:t>
      </w:r>
      <w:r w:rsidRPr="00B17153">
        <w:rPr>
          <w:rFonts w:eastAsia="Calibri"/>
          <w:b/>
          <w:lang w:bidi="ar-SA"/>
        </w:rPr>
        <w:tab/>
      </w:r>
      <w:r w:rsidRPr="00B17153">
        <w:rPr>
          <w:rFonts w:eastAsia="Calibri"/>
          <w:b/>
          <w:lang w:bidi="ar-SA"/>
        </w:rPr>
        <w:tab/>
        <w:t>Stock Indexes</w:t>
      </w:r>
    </w:p>
    <w:p w14:paraId="735EF677" w14:textId="77777777" w:rsidR="00B17153" w:rsidRPr="00B17153" w:rsidRDefault="00B17153" w:rsidP="00B17153">
      <w:pPr>
        <w:spacing w:line="276" w:lineRule="auto"/>
        <w:ind w:firstLine="0"/>
        <w:rPr>
          <w:rFonts w:eastAsia="Calibri"/>
          <w:b/>
          <w:sz w:val="20"/>
          <w:szCs w:val="20"/>
          <w:lang w:bidi="ar-SA"/>
        </w:rPr>
      </w:pP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sz w:val="20"/>
          <w:szCs w:val="20"/>
          <w:lang w:bidi="ar-SA"/>
        </w:rPr>
        <w:t xml:space="preserve">              </w:t>
      </w:r>
      <w:r w:rsidRPr="00B17153">
        <w:rPr>
          <w:rFonts w:eastAsia="Calibri"/>
          <w:b/>
          <w:sz w:val="20"/>
          <w:szCs w:val="20"/>
          <w:lang w:bidi="ar-SA"/>
        </w:rPr>
        <w:t>(As of 12/31/22)*</w:t>
      </w:r>
    </w:p>
    <w:p w14:paraId="1D223801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Dow Jones Industrials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  -8.78%</w:t>
      </w:r>
    </w:p>
    <w:p w14:paraId="44CB531B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S&amp;P 500 Index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-19.44%</w:t>
      </w:r>
    </w:p>
    <w:p w14:paraId="47401D5B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NASDAQ Composite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-33.10%</w:t>
      </w:r>
      <w:r w:rsidRPr="00B17153">
        <w:rPr>
          <w:rFonts w:eastAsia="Calibri"/>
          <w:lang w:bidi="ar-SA"/>
        </w:rPr>
        <w:tab/>
      </w:r>
    </w:p>
    <w:p w14:paraId="01B31124" w14:textId="77777777" w:rsidR="00B17153" w:rsidRPr="00B17153" w:rsidRDefault="00B17153" w:rsidP="00B17153">
      <w:pPr>
        <w:tabs>
          <w:tab w:val="left" w:pos="6480"/>
        </w:tabs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 xml:space="preserve">MSCI </w:t>
      </w:r>
      <w:proofErr w:type="spellStart"/>
      <w:r w:rsidRPr="00B17153">
        <w:rPr>
          <w:rFonts w:eastAsia="Calibri"/>
          <w:lang w:bidi="ar-SA"/>
        </w:rPr>
        <w:t>ACWI</w:t>
      </w:r>
      <w:proofErr w:type="spellEnd"/>
      <w:r w:rsidRPr="00B17153">
        <w:rPr>
          <w:rFonts w:eastAsia="Calibri"/>
          <w:lang w:bidi="ar-SA"/>
        </w:rPr>
        <w:t xml:space="preserve"> All Cap (Net </w:t>
      </w:r>
      <w:proofErr w:type="spellStart"/>
      <w:r w:rsidRPr="00B17153">
        <w:rPr>
          <w:rFonts w:eastAsia="Calibri"/>
          <w:lang w:bidi="ar-SA"/>
        </w:rPr>
        <w:t>Div</w:t>
      </w:r>
      <w:proofErr w:type="spellEnd"/>
      <w:r w:rsidRPr="00B17153">
        <w:rPr>
          <w:rFonts w:eastAsia="Calibri"/>
          <w:lang w:bidi="ar-SA"/>
        </w:rPr>
        <w:t>)</w:t>
      </w:r>
      <w:r w:rsidRPr="00B17153">
        <w:rPr>
          <w:rFonts w:eastAsia="Calibri"/>
          <w:lang w:bidi="ar-SA"/>
        </w:rPr>
        <w:tab/>
        <w:t xml:space="preserve">     -18.44%</w:t>
      </w:r>
    </w:p>
    <w:p w14:paraId="4DA546D4" w14:textId="77777777" w:rsidR="00B17153" w:rsidRPr="00B17153" w:rsidRDefault="00B17153" w:rsidP="00B17153">
      <w:pPr>
        <w:spacing w:line="276" w:lineRule="auto"/>
        <w:rPr>
          <w:rFonts w:eastAsia="Calibri"/>
          <w:sz w:val="16"/>
          <w:szCs w:val="16"/>
          <w:lang w:bidi="ar-SA"/>
        </w:rPr>
      </w:pPr>
    </w:p>
    <w:p w14:paraId="589B080F" w14:textId="77777777" w:rsidR="00B17153" w:rsidRPr="00B17153" w:rsidRDefault="00B17153" w:rsidP="00B17153">
      <w:pPr>
        <w:spacing w:line="276" w:lineRule="auto"/>
        <w:rPr>
          <w:rFonts w:eastAsia="Calibri"/>
          <w:b/>
          <w:sz w:val="20"/>
          <w:szCs w:val="20"/>
          <w:lang w:bidi="ar-SA"/>
        </w:rPr>
      </w:pP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sz w:val="20"/>
          <w:szCs w:val="20"/>
          <w:lang w:bidi="ar-SA"/>
        </w:rPr>
        <w:t xml:space="preserve">                            (</w:t>
      </w:r>
      <w:r w:rsidRPr="00B17153">
        <w:rPr>
          <w:rFonts w:eastAsia="Calibri"/>
          <w:b/>
          <w:sz w:val="20"/>
          <w:szCs w:val="20"/>
          <w:lang w:bidi="ar-SA"/>
        </w:rPr>
        <w:t>As of 12/31/22)*</w:t>
      </w:r>
    </w:p>
    <w:p w14:paraId="4E911E82" w14:textId="77777777" w:rsidR="00B17153" w:rsidRPr="00B17153" w:rsidRDefault="00B17153" w:rsidP="00B17153">
      <w:pPr>
        <w:spacing w:line="276" w:lineRule="auto"/>
        <w:ind w:left="1440" w:firstLine="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Russell 1000 Growth Index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-29.14%</w:t>
      </w:r>
    </w:p>
    <w:p w14:paraId="304C531E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 xml:space="preserve">Russell 1000 Value Index 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  -7.54%</w:t>
      </w:r>
    </w:p>
    <w:p w14:paraId="7B1D8355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</w:p>
    <w:p w14:paraId="36444120" w14:textId="77777777" w:rsidR="00B17153" w:rsidRPr="00B17153" w:rsidRDefault="00B17153" w:rsidP="00B17153">
      <w:pPr>
        <w:tabs>
          <w:tab w:val="left" w:pos="1471"/>
          <w:tab w:val="left" w:pos="6480"/>
        </w:tabs>
        <w:spacing w:line="276" w:lineRule="auto"/>
        <w:ind w:firstLine="0"/>
        <w:rPr>
          <w:rFonts w:eastAsia="Calibri"/>
          <w:b/>
          <w:sz w:val="20"/>
          <w:szCs w:val="20"/>
          <w:lang w:bidi="ar-SA"/>
        </w:rPr>
      </w:pPr>
      <w:r w:rsidRPr="00B17153">
        <w:rPr>
          <w:rFonts w:eastAsia="Calibri"/>
          <w:b/>
          <w:lang w:bidi="ar-SA"/>
        </w:rPr>
        <w:t xml:space="preserve">                                                                                                            </w:t>
      </w:r>
      <w:r w:rsidRPr="00B17153">
        <w:rPr>
          <w:rFonts w:eastAsia="Calibri"/>
          <w:b/>
          <w:sz w:val="20"/>
          <w:szCs w:val="20"/>
          <w:lang w:bidi="ar-SA"/>
        </w:rPr>
        <w:t>(As of 12/31/22)*</w:t>
      </w:r>
    </w:p>
    <w:p w14:paraId="73833C2B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>Russell 2000 Index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-20.40%</w:t>
      </w:r>
    </w:p>
    <w:p w14:paraId="0CA82BC5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 xml:space="preserve">Russell 2000 Growth Index      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-26.36%</w:t>
      </w:r>
    </w:p>
    <w:p w14:paraId="2AA3D8A5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 xml:space="preserve">Russell 2000 Value Index     </w:t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 xml:space="preserve">     -14.48%</w:t>
      </w:r>
    </w:p>
    <w:p w14:paraId="6ABAEEA2" w14:textId="77777777" w:rsidR="00B17153" w:rsidRPr="00B17153" w:rsidRDefault="00B17153" w:rsidP="00B17153">
      <w:pPr>
        <w:spacing w:line="276" w:lineRule="auto"/>
        <w:ind w:left="720"/>
        <w:contextualSpacing/>
        <w:rPr>
          <w:rFonts w:eastAsia="Calibri"/>
          <w:b/>
          <w:lang w:bidi="ar-SA"/>
        </w:rPr>
      </w:pPr>
    </w:p>
    <w:p w14:paraId="20619BA3" w14:textId="77777777" w:rsidR="00B17153" w:rsidRPr="00B17153" w:rsidRDefault="00B17153" w:rsidP="00B17153">
      <w:pPr>
        <w:tabs>
          <w:tab w:val="left" w:pos="6480"/>
          <w:tab w:val="left" w:pos="7020"/>
        </w:tabs>
        <w:spacing w:line="276" w:lineRule="auto"/>
        <w:ind w:left="720"/>
        <w:contextualSpacing/>
        <w:rPr>
          <w:rFonts w:eastAsia="Calibri"/>
          <w:b/>
          <w:sz w:val="20"/>
          <w:szCs w:val="20"/>
          <w:lang w:bidi="ar-SA"/>
        </w:rPr>
      </w:pPr>
      <w:r w:rsidRPr="00B17153">
        <w:rPr>
          <w:rFonts w:eastAsia="Calibri"/>
          <w:b/>
          <w:lang w:bidi="ar-SA"/>
        </w:rPr>
        <w:t>Bond Index</w:t>
      </w:r>
      <w:r w:rsidRPr="00B17153">
        <w:rPr>
          <w:rFonts w:eastAsia="Calibri"/>
          <w:b/>
          <w:lang w:bidi="ar-SA"/>
        </w:rPr>
        <w:tab/>
      </w:r>
      <w:r w:rsidRPr="00B17153">
        <w:rPr>
          <w:rFonts w:eastAsia="Calibri"/>
          <w:b/>
          <w:sz w:val="20"/>
          <w:szCs w:val="20"/>
          <w:lang w:bidi="ar-SA"/>
        </w:rPr>
        <w:t>(As of 12/31/22)*</w:t>
      </w:r>
    </w:p>
    <w:p w14:paraId="5B9C8D70" w14:textId="77777777" w:rsidR="00B17153" w:rsidRPr="00B17153" w:rsidRDefault="00B17153" w:rsidP="00B17153">
      <w:pPr>
        <w:spacing w:line="276" w:lineRule="auto"/>
        <w:ind w:firstLine="0"/>
        <w:rPr>
          <w:rFonts w:eastAsia="Calibri"/>
          <w:lang w:bidi="ar-SA"/>
        </w:rPr>
      </w:pP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lang w:bidi="ar-SA"/>
        </w:rPr>
        <w:tab/>
        <w:t>Bloomberg U.S. Aggregate Bond Index</w:t>
      </w:r>
      <w:r w:rsidRPr="00B17153">
        <w:rPr>
          <w:rFonts w:eastAsia="Calibri"/>
          <w:lang w:bidi="ar-SA"/>
        </w:rPr>
        <w:tab/>
        <w:t xml:space="preserve">    </w:t>
      </w:r>
      <w:r w:rsidRPr="00B17153">
        <w:rPr>
          <w:rFonts w:eastAsia="Calibri"/>
          <w:lang w:bidi="ar-SA"/>
        </w:rPr>
        <w:tab/>
        <w:t xml:space="preserve">      -13.01%</w:t>
      </w:r>
    </w:p>
    <w:p w14:paraId="1FEAD7A2" w14:textId="77777777" w:rsidR="00B17153" w:rsidRPr="00B17153" w:rsidRDefault="00B17153" w:rsidP="00B17153">
      <w:pPr>
        <w:tabs>
          <w:tab w:val="left" w:pos="1471"/>
        </w:tabs>
        <w:spacing w:line="276" w:lineRule="auto"/>
        <w:ind w:firstLine="0"/>
        <w:rPr>
          <w:rFonts w:eastAsia="Calibri"/>
          <w:b/>
          <w:sz w:val="16"/>
          <w:szCs w:val="16"/>
          <w:lang w:bidi="ar-SA"/>
        </w:rPr>
      </w:pPr>
      <w:r w:rsidRPr="00B17153">
        <w:rPr>
          <w:rFonts w:eastAsia="Calibri"/>
          <w:lang w:bidi="ar-SA"/>
        </w:rPr>
        <w:tab/>
      </w:r>
      <w:r w:rsidRPr="00B17153">
        <w:rPr>
          <w:rFonts w:eastAsia="Calibri"/>
          <w:b/>
          <w:lang w:bidi="ar-SA"/>
        </w:rPr>
        <w:tab/>
      </w:r>
      <w:r w:rsidRPr="00B17153">
        <w:rPr>
          <w:rFonts w:eastAsia="Calibri"/>
          <w:b/>
          <w:lang w:bidi="ar-SA"/>
        </w:rPr>
        <w:tab/>
      </w:r>
      <w:r w:rsidRPr="00B17153">
        <w:rPr>
          <w:rFonts w:eastAsia="Calibri"/>
          <w:b/>
          <w:lang w:bidi="ar-SA"/>
        </w:rPr>
        <w:tab/>
      </w:r>
      <w:r w:rsidRPr="00B17153">
        <w:rPr>
          <w:rFonts w:eastAsia="Calibri"/>
          <w:sz w:val="16"/>
          <w:szCs w:val="16"/>
          <w:lang w:bidi="ar-SA"/>
        </w:rPr>
        <w:tab/>
      </w:r>
    </w:p>
    <w:p w14:paraId="0F5F2271" w14:textId="77777777" w:rsidR="00B17153" w:rsidRPr="00B17153" w:rsidRDefault="00B17153" w:rsidP="00B17153">
      <w:pPr>
        <w:spacing w:line="276" w:lineRule="auto"/>
        <w:ind w:left="720" w:firstLine="0"/>
        <w:contextualSpacing/>
        <w:rPr>
          <w:rFonts w:eastAsia="Calibri"/>
          <w:b/>
          <w:sz w:val="16"/>
          <w:szCs w:val="16"/>
          <w:lang w:bidi="ar-SA"/>
        </w:rPr>
      </w:pPr>
      <w:r w:rsidRPr="00B17153">
        <w:rPr>
          <w:rFonts w:eastAsia="Calibri"/>
          <w:b/>
          <w:sz w:val="16"/>
          <w:szCs w:val="16"/>
          <w:lang w:bidi="ar-SA"/>
        </w:rPr>
        <w:t xml:space="preserve">                 (Source:  The Wall Street Journal &amp; Russell Investments websites)</w:t>
      </w:r>
    </w:p>
    <w:p w14:paraId="4FB9128E" w14:textId="77777777" w:rsidR="00B17153" w:rsidRPr="00B17153" w:rsidRDefault="00B17153" w:rsidP="00B17153">
      <w:pPr>
        <w:spacing w:line="276" w:lineRule="auto"/>
        <w:ind w:firstLine="0"/>
        <w:rPr>
          <w:rFonts w:eastAsia="Calibri"/>
          <w:b/>
          <w:sz w:val="16"/>
          <w:szCs w:val="16"/>
          <w:lang w:bidi="ar-SA"/>
        </w:rPr>
      </w:pPr>
    </w:p>
    <w:p w14:paraId="0A09B2B2" w14:textId="77777777" w:rsidR="00B17153" w:rsidRPr="00B17153" w:rsidRDefault="00B17153" w:rsidP="00B17153">
      <w:pPr>
        <w:spacing w:line="276" w:lineRule="auto"/>
        <w:rPr>
          <w:rFonts w:eastAsia="Calibri"/>
          <w:sz w:val="16"/>
          <w:szCs w:val="16"/>
          <w:lang w:bidi="ar-SA"/>
        </w:rPr>
      </w:pPr>
      <w:r w:rsidRPr="00B17153">
        <w:rPr>
          <w:rFonts w:eastAsia="Calibri"/>
          <w:lang w:bidi="ar-SA"/>
        </w:rPr>
        <w:t xml:space="preserve">           </w:t>
      </w:r>
      <w:r w:rsidRPr="00B17153">
        <w:rPr>
          <w:rFonts w:eastAsia="Calibri"/>
          <w:sz w:val="16"/>
          <w:szCs w:val="16"/>
          <w:lang w:bidi="ar-SA"/>
        </w:rPr>
        <w:t>*Inclusion of these indexes is for illustrative purposes only.  Keep in mind that individuals cannot</w:t>
      </w:r>
    </w:p>
    <w:p w14:paraId="311919BA" w14:textId="77777777" w:rsidR="00B17153" w:rsidRPr="00B17153" w:rsidRDefault="00B17153" w:rsidP="00B17153">
      <w:pPr>
        <w:spacing w:line="276" w:lineRule="auto"/>
        <w:rPr>
          <w:rFonts w:eastAsia="Calibri"/>
          <w:sz w:val="16"/>
          <w:szCs w:val="16"/>
          <w:lang w:bidi="ar-SA"/>
        </w:rPr>
      </w:pPr>
      <w:r w:rsidRPr="00B17153">
        <w:rPr>
          <w:rFonts w:eastAsia="Calibri"/>
          <w:sz w:val="16"/>
          <w:szCs w:val="16"/>
          <w:lang w:bidi="ar-SA"/>
        </w:rPr>
        <w:t xml:space="preserve">                 invest directly in any index, and index performance does not include transaction costs or other fees,</w:t>
      </w:r>
    </w:p>
    <w:p w14:paraId="2AFCBDDA" w14:textId="77777777" w:rsidR="00B17153" w:rsidRPr="00B17153" w:rsidRDefault="00B17153" w:rsidP="00B17153">
      <w:pPr>
        <w:spacing w:line="276" w:lineRule="auto"/>
        <w:rPr>
          <w:rFonts w:eastAsia="Calibri"/>
          <w:sz w:val="16"/>
          <w:szCs w:val="16"/>
          <w:lang w:bidi="ar-SA"/>
        </w:rPr>
      </w:pPr>
      <w:r w:rsidRPr="00B17153">
        <w:rPr>
          <w:rFonts w:eastAsia="Calibri"/>
          <w:sz w:val="16"/>
          <w:szCs w:val="16"/>
          <w:lang w:bidi="ar-SA"/>
        </w:rPr>
        <w:t xml:space="preserve">                 which will affect actual investment performance.  Individual investor’s results will vary.  Past</w:t>
      </w:r>
    </w:p>
    <w:p w14:paraId="3D0C2066" w14:textId="77777777" w:rsidR="00B17153" w:rsidRPr="00B17153" w:rsidRDefault="00B17153" w:rsidP="00B17153">
      <w:pPr>
        <w:spacing w:line="276" w:lineRule="auto"/>
        <w:rPr>
          <w:rFonts w:eastAsia="Calibri"/>
          <w:b/>
        </w:rPr>
      </w:pPr>
      <w:r w:rsidRPr="00B17153">
        <w:rPr>
          <w:rFonts w:eastAsia="Calibri"/>
          <w:sz w:val="16"/>
          <w:szCs w:val="16"/>
          <w:lang w:bidi="ar-SA"/>
        </w:rPr>
        <w:t xml:space="preserve">                 performance does not guarantee future results.</w:t>
      </w:r>
    </w:p>
    <w:p w14:paraId="4FB7D58D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3DF58FD4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394326BC" w14:textId="77777777" w:rsidR="00B17153" w:rsidRDefault="00B17153" w:rsidP="000B10A3">
      <w:pPr>
        <w:tabs>
          <w:tab w:val="left" w:pos="1635"/>
          <w:tab w:val="center" w:pos="4806"/>
        </w:tabs>
        <w:jc w:val="center"/>
        <w:rPr>
          <w:b/>
        </w:rPr>
      </w:pPr>
    </w:p>
    <w:p w14:paraId="73C99055" w14:textId="62ADACC6" w:rsidR="00AD78E2" w:rsidRDefault="00411B37" w:rsidP="000B10A3">
      <w:pPr>
        <w:tabs>
          <w:tab w:val="left" w:pos="1635"/>
          <w:tab w:val="center" w:pos="4806"/>
        </w:tabs>
        <w:jc w:val="center"/>
        <w:rPr>
          <w:b/>
        </w:rPr>
      </w:pPr>
      <w:r w:rsidRPr="00C22525">
        <w:rPr>
          <w:b/>
        </w:rPr>
        <w:lastRenderedPageBreak/>
        <w:t>FINANCIAL</w:t>
      </w:r>
      <w:bookmarkEnd w:id="0"/>
      <w:r w:rsidRPr="00C22525">
        <w:rPr>
          <w:b/>
        </w:rPr>
        <w:t xml:space="preserve"> AND INVESTMENT PLANNING</w:t>
      </w:r>
    </w:p>
    <w:p w14:paraId="16C375C6" w14:textId="77777777" w:rsidR="00160F6E" w:rsidRDefault="00160F6E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46A0872B" w14:textId="24F87A9A" w:rsidR="000B6523" w:rsidRDefault="00160F6E" w:rsidP="00160F6E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0B6523" w:rsidRPr="000B6523">
        <w:rPr>
          <w:bCs/>
        </w:rPr>
        <w:t xml:space="preserve">As you are no doubt aware, and you can also </w:t>
      </w:r>
      <w:r w:rsidR="000B6523">
        <w:rPr>
          <w:bCs/>
        </w:rPr>
        <w:t xml:space="preserve">observe on the previous page, 2022 was a rotten, no good, very bad year for investors. And </w:t>
      </w:r>
      <w:r w:rsidR="00916FC6">
        <w:rPr>
          <w:bCs/>
        </w:rPr>
        <w:t>whi</w:t>
      </w:r>
      <w:r w:rsidR="000B6523">
        <w:rPr>
          <w:bCs/>
        </w:rPr>
        <w:t xml:space="preserve">le there may be little value </w:t>
      </w:r>
      <w:r w:rsidR="00EC482E">
        <w:rPr>
          <w:bCs/>
        </w:rPr>
        <w:t>i</w:t>
      </w:r>
      <w:r w:rsidR="000B6523">
        <w:rPr>
          <w:bCs/>
        </w:rPr>
        <w:t>n dwelling on the past, I believe there are several interesting items that are worth noting.</w:t>
      </w:r>
    </w:p>
    <w:p w14:paraId="2B483AD0" w14:textId="76D5BB64" w:rsidR="00160F6E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We talk about the stock market as if it were a monolith – one thing. </w:t>
      </w:r>
      <w:r w:rsidR="00160F6E" w:rsidRPr="000B6523">
        <w:rPr>
          <w:bCs/>
        </w:rPr>
        <w:tab/>
      </w:r>
      <w:r>
        <w:rPr>
          <w:bCs/>
        </w:rPr>
        <w:t xml:space="preserve">We </w:t>
      </w:r>
      <w:r w:rsidR="004973AD">
        <w:rPr>
          <w:bCs/>
        </w:rPr>
        <w:t>say,</w:t>
      </w:r>
      <w:r>
        <w:rPr>
          <w:bCs/>
        </w:rPr>
        <w:t xml:space="preserve"> “the market</w:t>
      </w:r>
      <w:r w:rsidR="001B2F0A">
        <w:rPr>
          <w:bCs/>
        </w:rPr>
        <w:t>,</w:t>
      </w:r>
      <w:r>
        <w:rPr>
          <w:bCs/>
        </w:rPr>
        <w:t xml:space="preserve">” of course this is like saying “the real estate market,” as if it </w:t>
      </w:r>
      <w:r w:rsidR="00916FC6">
        <w:rPr>
          <w:bCs/>
        </w:rPr>
        <w:t xml:space="preserve">is </w:t>
      </w:r>
      <w:r>
        <w:rPr>
          <w:bCs/>
        </w:rPr>
        <w:t>also one thing. And markets have many components. Is real estate multi-family, office, industrial or hotels?</w:t>
      </w:r>
    </w:p>
    <w:p w14:paraId="6D794C1F" w14:textId="2F5425E2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The same goes for the stock market. One way to think about the U.S. stock market is to categorize companies by two common metrics </w:t>
      </w:r>
      <w:r w:rsidR="001B2F0A">
        <w:rPr>
          <w:bCs/>
        </w:rPr>
        <w:t>v</w:t>
      </w:r>
      <w:r>
        <w:rPr>
          <w:bCs/>
        </w:rPr>
        <w:t xml:space="preserve">alue/growth and small and large cap or </w:t>
      </w:r>
      <w:r w:rsidR="004973AD">
        <w:rPr>
          <w:bCs/>
        </w:rPr>
        <w:t xml:space="preserve">capitalization. </w:t>
      </w:r>
      <w:r>
        <w:rPr>
          <w:bCs/>
        </w:rPr>
        <w:t xml:space="preserve"> Rather than get into the definitions of these, let’s just observe their 2022 returns</w:t>
      </w:r>
      <w:r w:rsidR="0090764B">
        <w:rPr>
          <w:bCs/>
        </w:rPr>
        <w:t>.</w:t>
      </w:r>
    </w:p>
    <w:p w14:paraId="3D3F45FB" w14:textId="69F34034" w:rsidR="0090764B" w:rsidRPr="0090764B" w:rsidRDefault="0090764B" w:rsidP="000B6523">
      <w:pPr>
        <w:tabs>
          <w:tab w:val="left" w:pos="480"/>
          <w:tab w:val="left" w:pos="540"/>
          <w:tab w:val="left" w:pos="885"/>
        </w:tabs>
        <w:ind w:firstLine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0764B">
        <w:rPr>
          <w:b/>
        </w:rPr>
        <w:t xml:space="preserve">           </w:t>
      </w:r>
      <w:r w:rsidR="00DF1822">
        <w:rPr>
          <w:b/>
        </w:rPr>
        <w:t xml:space="preserve">  </w:t>
      </w:r>
      <w:r w:rsidRPr="0090764B">
        <w:rPr>
          <w:b/>
        </w:rPr>
        <w:t>2022</w:t>
      </w:r>
    </w:p>
    <w:p w14:paraId="1A50E3F4" w14:textId="77777777" w:rsidR="0090764B" w:rsidRDefault="0090764B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tbl>
      <w:tblPr>
        <w:tblStyle w:val="TableGrid"/>
        <w:tblW w:w="0" w:type="auto"/>
        <w:tblInd w:w="3190" w:type="dxa"/>
        <w:tblLook w:val="04A0" w:firstRow="1" w:lastRow="0" w:firstColumn="1" w:lastColumn="0" w:noHBand="0" w:noVBand="1"/>
      </w:tblPr>
      <w:tblGrid>
        <w:gridCol w:w="506"/>
        <w:gridCol w:w="1036"/>
        <w:gridCol w:w="1070"/>
      </w:tblGrid>
      <w:tr w:rsidR="0090764B" w14:paraId="35BED880" w14:textId="77777777" w:rsidTr="0090764B">
        <w:tc>
          <w:tcPr>
            <w:tcW w:w="506" w:type="dxa"/>
          </w:tcPr>
          <w:p w14:paraId="68A76B1B" w14:textId="77777777" w:rsidR="0090764B" w:rsidRDefault="0090764B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036" w:type="dxa"/>
          </w:tcPr>
          <w:p w14:paraId="79C4D700" w14:textId="0E08139D" w:rsidR="0090764B" w:rsidRP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90764B">
              <w:rPr>
                <w:b/>
              </w:rPr>
              <w:t>Value</w:t>
            </w:r>
          </w:p>
        </w:tc>
        <w:tc>
          <w:tcPr>
            <w:tcW w:w="1070" w:type="dxa"/>
          </w:tcPr>
          <w:p w14:paraId="0F79264C" w14:textId="4CF02902" w:rsidR="0090764B" w:rsidRP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90764B">
              <w:rPr>
                <w:b/>
              </w:rPr>
              <w:t>Growth</w:t>
            </w:r>
          </w:p>
        </w:tc>
      </w:tr>
      <w:tr w:rsidR="0090764B" w14:paraId="338EB99D" w14:textId="77777777" w:rsidTr="0090764B">
        <w:trPr>
          <w:cantSplit/>
          <w:trHeight w:val="1134"/>
        </w:trPr>
        <w:tc>
          <w:tcPr>
            <w:tcW w:w="506" w:type="dxa"/>
            <w:textDirection w:val="btLr"/>
          </w:tcPr>
          <w:p w14:paraId="75846463" w14:textId="1A62566C" w:rsidR="0090764B" w:rsidRP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left="113" w:right="113" w:firstLine="0"/>
              <w:jc w:val="center"/>
              <w:rPr>
                <w:b/>
              </w:rPr>
            </w:pPr>
            <w:r w:rsidRPr="0090764B">
              <w:rPr>
                <w:b/>
              </w:rPr>
              <w:t>Large</w:t>
            </w:r>
          </w:p>
        </w:tc>
        <w:tc>
          <w:tcPr>
            <w:tcW w:w="1036" w:type="dxa"/>
          </w:tcPr>
          <w:p w14:paraId="434B6040" w14:textId="77777777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  <w:p w14:paraId="730C2B83" w14:textId="3DB849AC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-7.5%</w:t>
            </w:r>
          </w:p>
        </w:tc>
        <w:tc>
          <w:tcPr>
            <w:tcW w:w="1070" w:type="dxa"/>
          </w:tcPr>
          <w:p w14:paraId="2D92C4FA" w14:textId="77777777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  <w:p w14:paraId="34EE430A" w14:textId="2D583FC2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-29.1%</w:t>
            </w:r>
          </w:p>
        </w:tc>
      </w:tr>
      <w:tr w:rsidR="0090764B" w14:paraId="0B4A0526" w14:textId="77777777" w:rsidTr="0090764B">
        <w:trPr>
          <w:cantSplit/>
          <w:trHeight w:val="1134"/>
        </w:trPr>
        <w:tc>
          <w:tcPr>
            <w:tcW w:w="506" w:type="dxa"/>
            <w:textDirection w:val="btLr"/>
          </w:tcPr>
          <w:p w14:paraId="444B8CD8" w14:textId="7BFDCC99" w:rsidR="0090764B" w:rsidRP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left="113" w:right="113" w:firstLine="0"/>
              <w:jc w:val="center"/>
              <w:rPr>
                <w:b/>
              </w:rPr>
            </w:pPr>
            <w:r w:rsidRPr="0090764B">
              <w:rPr>
                <w:b/>
              </w:rPr>
              <w:t>Small</w:t>
            </w:r>
          </w:p>
        </w:tc>
        <w:tc>
          <w:tcPr>
            <w:tcW w:w="1036" w:type="dxa"/>
          </w:tcPr>
          <w:p w14:paraId="51A20B8F" w14:textId="77777777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  <w:p w14:paraId="2167071F" w14:textId="729B79F1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-14.5%</w:t>
            </w:r>
          </w:p>
        </w:tc>
        <w:tc>
          <w:tcPr>
            <w:tcW w:w="1070" w:type="dxa"/>
          </w:tcPr>
          <w:p w14:paraId="7E87EDC6" w14:textId="77777777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  <w:p w14:paraId="08890323" w14:textId="50A25446" w:rsidR="0090764B" w:rsidRDefault="0090764B" w:rsidP="0090764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-26.4%</w:t>
            </w:r>
          </w:p>
        </w:tc>
      </w:tr>
    </w:tbl>
    <w:p w14:paraId="21E77429" w14:textId="77777777" w:rsidR="0090764B" w:rsidRDefault="0090764B" w:rsidP="0090764B">
      <w:pPr>
        <w:tabs>
          <w:tab w:val="left" w:pos="3210"/>
        </w:tabs>
        <w:ind w:firstLine="0"/>
        <w:rPr>
          <w:b/>
          <w:sz w:val="16"/>
          <w:szCs w:val="16"/>
        </w:rPr>
      </w:pPr>
      <w:r>
        <w:rPr>
          <w:bCs/>
        </w:rPr>
        <w:tab/>
      </w:r>
      <w:r w:rsidRPr="0090764B">
        <w:rPr>
          <w:b/>
          <w:sz w:val="16"/>
          <w:szCs w:val="16"/>
        </w:rPr>
        <w:t xml:space="preserve">Source:  FactSet, Refinitiv </w:t>
      </w:r>
      <w:proofErr w:type="spellStart"/>
      <w:r w:rsidRPr="0090764B">
        <w:rPr>
          <w:b/>
          <w:sz w:val="16"/>
          <w:szCs w:val="16"/>
        </w:rPr>
        <w:t>Datastream</w:t>
      </w:r>
      <w:proofErr w:type="spellEnd"/>
      <w:r w:rsidRPr="0090764B">
        <w:rPr>
          <w:b/>
          <w:sz w:val="16"/>
          <w:szCs w:val="16"/>
        </w:rPr>
        <w:t xml:space="preserve">, Russell Investment Group, </w:t>
      </w:r>
    </w:p>
    <w:p w14:paraId="3F761C91" w14:textId="476011E0" w:rsidR="000B6523" w:rsidRPr="0090764B" w:rsidRDefault="0090764B" w:rsidP="0090764B">
      <w:pPr>
        <w:tabs>
          <w:tab w:val="left" w:pos="3210"/>
        </w:tabs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0764B">
        <w:rPr>
          <w:b/>
          <w:sz w:val="16"/>
          <w:szCs w:val="16"/>
        </w:rPr>
        <w:t>Standard &amp; Poor’s, J.P. Morgan Asset Management</w:t>
      </w:r>
    </w:p>
    <w:p w14:paraId="04C2661A" w14:textId="77777777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74111586" w14:textId="4D1D5071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Growth stocks in such areas as information technology and biotechnology fared much worse than energy stocks.  </w:t>
      </w:r>
    </w:p>
    <w:p w14:paraId="78A3EA1F" w14:textId="36178101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And after a year like 2022, there is always a debate about whether U.S. equities are cheap, </w:t>
      </w:r>
      <w:proofErr w:type="gramStart"/>
      <w:r>
        <w:rPr>
          <w:bCs/>
        </w:rPr>
        <w:t>fairly valued</w:t>
      </w:r>
      <w:proofErr w:type="gramEnd"/>
      <w:r>
        <w:rPr>
          <w:bCs/>
        </w:rPr>
        <w:t>, or expensive.</w:t>
      </w:r>
    </w:p>
    <w:p w14:paraId="3EBCDDF4" w14:textId="0E27D8F4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>Here are several valuation measures.</w:t>
      </w:r>
    </w:p>
    <w:p w14:paraId="29BAD37F" w14:textId="7F507438" w:rsidR="00DF1822" w:rsidRDefault="00DF182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4C877451" w14:textId="4A3E292A" w:rsidR="00DF1822" w:rsidRPr="00DF1822" w:rsidRDefault="00DF1822" w:rsidP="00EC482E">
      <w:pPr>
        <w:tabs>
          <w:tab w:val="left" w:pos="480"/>
          <w:tab w:val="left" w:pos="540"/>
          <w:tab w:val="left" w:pos="885"/>
        </w:tabs>
        <w:ind w:firstLine="0"/>
        <w:jc w:val="center"/>
        <w:rPr>
          <w:b/>
          <w:sz w:val="28"/>
          <w:szCs w:val="28"/>
        </w:rPr>
      </w:pPr>
      <w:r w:rsidRPr="00DF1822">
        <w:rPr>
          <w:b/>
          <w:sz w:val="28"/>
          <w:szCs w:val="28"/>
        </w:rPr>
        <w:t>S&amp;P 500 Index</w:t>
      </w:r>
    </w:p>
    <w:p w14:paraId="61124BA6" w14:textId="15ED0429" w:rsidR="0090764B" w:rsidRDefault="0090764B" w:rsidP="00EC482E">
      <w:pPr>
        <w:tabs>
          <w:tab w:val="left" w:pos="480"/>
          <w:tab w:val="left" w:pos="540"/>
          <w:tab w:val="left" w:pos="885"/>
        </w:tabs>
        <w:ind w:firstLine="0"/>
        <w:jc w:val="center"/>
        <w:rPr>
          <w:bCs/>
        </w:rPr>
      </w:pPr>
    </w:p>
    <w:p w14:paraId="40C55F1A" w14:textId="77777777" w:rsidR="0090764B" w:rsidRDefault="0090764B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277"/>
        <w:gridCol w:w="2269"/>
        <w:gridCol w:w="2269"/>
      </w:tblGrid>
      <w:tr w:rsidR="0090764B" w14:paraId="3A2C4136" w14:textId="77777777" w:rsidTr="00523E82">
        <w:tc>
          <w:tcPr>
            <w:tcW w:w="2292" w:type="dxa"/>
          </w:tcPr>
          <w:p w14:paraId="2B696279" w14:textId="3853F49D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DF1822">
              <w:rPr>
                <w:b/>
              </w:rPr>
              <w:t>Valuation measure</w:t>
            </w:r>
          </w:p>
        </w:tc>
        <w:tc>
          <w:tcPr>
            <w:tcW w:w="2292" w:type="dxa"/>
          </w:tcPr>
          <w:p w14:paraId="04F37B6D" w14:textId="08BDDA43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DF1822">
              <w:rPr>
                <w:b/>
              </w:rPr>
              <w:t>Description</w:t>
            </w:r>
          </w:p>
        </w:tc>
        <w:tc>
          <w:tcPr>
            <w:tcW w:w="2293" w:type="dxa"/>
          </w:tcPr>
          <w:p w14:paraId="0BD2B24F" w14:textId="63BDCCA9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DF1822">
              <w:rPr>
                <w:b/>
              </w:rPr>
              <w:t>Latest</w:t>
            </w:r>
          </w:p>
        </w:tc>
        <w:tc>
          <w:tcPr>
            <w:tcW w:w="2293" w:type="dxa"/>
          </w:tcPr>
          <w:p w14:paraId="2D0F2C89" w14:textId="12DAE977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DF1822">
              <w:rPr>
                <w:b/>
              </w:rPr>
              <w:t>25-year avg*</w:t>
            </w:r>
          </w:p>
        </w:tc>
      </w:tr>
      <w:tr w:rsidR="0090764B" w14:paraId="59D020E2" w14:textId="77777777" w:rsidTr="00523E82">
        <w:tc>
          <w:tcPr>
            <w:tcW w:w="2292" w:type="dxa"/>
          </w:tcPr>
          <w:p w14:paraId="4ECE8C5C" w14:textId="149A95D1" w:rsidR="0090764B" w:rsidRDefault="00DF182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P</w:t>
            </w:r>
            <w:r w:rsidR="001B2F0A">
              <w:rPr>
                <w:bCs/>
              </w:rPr>
              <w:t>rice Earnings Ratio</w:t>
            </w:r>
          </w:p>
        </w:tc>
        <w:tc>
          <w:tcPr>
            <w:tcW w:w="2292" w:type="dxa"/>
          </w:tcPr>
          <w:p w14:paraId="64EB73CC" w14:textId="40C4DEA5" w:rsidR="0090764B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Forward P/E</w:t>
            </w:r>
          </w:p>
        </w:tc>
        <w:tc>
          <w:tcPr>
            <w:tcW w:w="2293" w:type="dxa"/>
          </w:tcPr>
          <w:p w14:paraId="37C632CD" w14:textId="12092990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 w:rsidRPr="00DF1822">
              <w:rPr>
                <w:bCs/>
              </w:rPr>
              <w:t>16.65x</w:t>
            </w:r>
            <w:proofErr w:type="spellEnd"/>
          </w:p>
        </w:tc>
        <w:tc>
          <w:tcPr>
            <w:tcW w:w="2293" w:type="dxa"/>
          </w:tcPr>
          <w:p w14:paraId="4997A635" w14:textId="27CD3CE8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 w:rsidRPr="00DF1822">
              <w:rPr>
                <w:bCs/>
              </w:rPr>
              <w:t>16.82x</w:t>
            </w:r>
            <w:proofErr w:type="spellEnd"/>
          </w:p>
        </w:tc>
      </w:tr>
      <w:tr w:rsidR="0090764B" w14:paraId="654BFE7E" w14:textId="77777777" w:rsidTr="00523E82">
        <w:tc>
          <w:tcPr>
            <w:tcW w:w="2292" w:type="dxa"/>
          </w:tcPr>
          <w:p w14:paraId="208A71F1" w14:textId="4BE7178A" w:rsidR="0090764B" w:rsidRDefault="00DF182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Div. Yield</w:t>
            </w:r>
          </w:p>
        </w:tc>
        <w:tc>
          <w:tcPr>
            <w:tcW w:w="2292" w:type="dxa"/>
          </w:tcPr>
          <w:p w14:paraId="7A41FD58" w14:textId="4719C98B" w:rsidR="0090764B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Dividend yield</w:t>
            </w:r>
          </w:p>
        </w:tc>
        <w:tc>
          <w:tcPr>
            <w:tcW w:w="2293" w:type="dxa"/>
          </w:tcPr>
          <w:p w14:paraId="50A10E28" w14:textId="5FE85A22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 w:rsidRPr="00DF1822">
              <w:rPr>
                <w:bCs/>
              </w:rPr>
              <w:t>1.81%</w:t>
            </w:r>
          </w:p>
        </w:tc>
        <w:tc>
          <w:tcPr>
            <w:tcW w:w="2293" w:type="dxa"/>
          </w:tcPr>
          <w:p w14:paraId="4DA8F1AB" w14:textId="29A7C156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 w:rsidRPr="00DF1822">
              <w:rPr>
                <w:bCs/>
              </w:rPr>
              <w:t>1.99%</w:t>
            </w:r>
          </w:p>
        </w:tc>
      </w:tr>
      <w:tr w:rsidR="0090764B" w14:paraId="35EB8652" w14:textId="77777777" w:rsidTr="00523E82">
        <w:tc>
          <w:tcPr>
            <w:tcW w:w="2292" w:type="dxa"/>
          </w:tcPr>
          <w:p w14:paraId="2F6F0BA7" w14:textId="70203DEE" w:rsidR="0090764B" w:rsidRDefault="00DF182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P/B</w:t>
            </w:r>
          </w:p>
        </w:tc>
        <w:tc>
          <w:tcPr>
            <w:tcW w:w="2292" w:type="dxa"/>
          </w:tcPr>
          <w:p w14:paraId="521EE460" w14:textId="26BF1F1F" w:rsidR="0090764B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Price to book</w:t>
            </w:r>
          </w:p>
        </w:tc>
        <w:tc>
          <w:tcPr>
            <w:tcW w:w="2293" w:type="dxa"/>
          </w:tcPr>
          <w:p w14:paraId="062C277F" w14:textId="7A512666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3.42x</w:t>
            </w:r>
            <w:proofErr w:type="spellEnd"/>
          </w:p>
        </w:tc>
        <w:tc>
          <w:tcPr>
            <w:tcW w:w="2293" w:type="dxa"/>
          </w:tcPr>
          <w:p w14:paraId="66F3E6D6" w14:textId="373C9C02" w:rsidR="0090764B" w:rsidRP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3.10x</w:t>
            </w:r>
            <w:proofErr w:type="spellEnd"/>
          </w:p>
        </w:tc>
      </w:tr>
      <w:tr w:rsidR="00DF1822" w14:paraId="18922DFF" w14:textId="77777777" w:rsidTr="00523E82">
        <w:tc>
          <w:tcPr>
            <w:tcW w:w="2292" w:type="dxa"/>
          </w:tcPr>
          <w:p w14:paraId="1BF45FFB" w14:textId="4B82DFA7" w:rsidR="00DF1822" w:rsidRDefault="00DF182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P/CF</w:t>
            </w:r>
          </w:p>
        </w:tc>
        <w:tc>
          <w:tcPr>
            <w:tcW w:w="2292" w:type="dxa"/>
          </w:tcPr>
          <w:p w14:paraId="0912D0BE" w14:textId="7F0B6A20" w:rsid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Price to cash flow</w:t>
            </w:r>
          </w:p>
        </w:tc>
        <w:tc>
          <w:tcPr>
            <w:tcW w:w="2293" w:type="dxa"/>
          </w:tcPr>
          <w:p w14:paraId="31DEB11C" w14:textId="1C895F8B" w:rsid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12.42x</w:t>
            </w:r>
            <w:proofErr w:type="spellEnd"/>
          </w:p>
        </w:tc>
        <w:tc>
          <w:tcPr>
            <w:tcW w:w="2293" w:type="dxa"/>
          </w:tcPr>
          <w:p w14:paraId="473D5FD4" w14:textId="16A68ACF" w:rsidR="00DF1822" w:rsidRDefault="00DF1822" w:rsidP="00DF182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11.19x</w:t>
            </w:r>
            <w:proofErr w:type="spellEnd"/>
          </w:p>
        </w:tc>
      </w:tr>
    </w:tbl>
    <w:p w14:paraId="0EBE289C" w14:textId="7A35153A" w:rsidR="000B6523" w:rsidRPr="00DF1822" w:rsidRDefault="00DF1822" w:rsidP="000B6523">
      <w:pPr>
        <w:tabs>
          <w:tab w:val="left" w:pos="480"/>
          <w:tab w:val="left" w:pos="540"/>
          <w:tab w:val="left" w:pos="885"/>
        </w:tabs>
        <w:ind w:firstLine="0"/>
        <w:rPr>
          <w:b/>
          <w:sz w:val="16"/>
          <w:szCs w:val="16"/>
        </w:rPr>
      </w:pPr>
      <w:r w:rsidRPr="00DF1822">
        <w:rPr>
          <w:b/>
          <w:sz w:val="16"/>
          <w:szCs w:val="16"/>
        </w:rPr>
        <w:t xml:space="preserve">Source:  FactSet, FRB, Refinitiv </w:t>
      </w:r>
      <w:proofErr w:type="spellStart"/>
      <w:r w:rsidRPr="00DF1822">
        <w:rPr>
          <w:b/>
          <w:sz w:val="16"/>
          <w:szCs w:val="16"/>
        </w:rPr>
        <w:t>Datastream</w:t>
      </w:r>
      <w:proofErr w:type="spellEnd"/>
      <w:r w:rsidRPr="00DF1822">
        <w:rPr>
          <w:b/>
          <w:sz w:val="16"/>
          <w:szCs w:val="16"/>
        </w:rPr>
        <w:t>, Robert Shiller, Standard &amp; Poor’s, Thomson Reuters, J.P. Morgan Asset Management.</w:t>
      </w:r>
    </w:p>
    <w:p w14:paraId="1FADBE7B" w14:textId="7FAFA2FB" w:rsidR="000B6523" w:rsidRPr="00DF1822" w:rsidRDefault="00DF1822" w:rsidP="000B6523">
      <w:pPr>
        <w:tabs>
          <w:tab w:val="left" w:pos="480"/>
          <w:tab w:val="left" w:pos="540"/>
          <w:tab w:val="left" w:pos="885"/>
        </w:tabs>
        <w:ind w:firstLine="0"/>
        <w:rPr>
          <w:b/>
          <w:sz w:val="16"/>
          <w:szCs w:val="16"/>
        </w:rPr>
      </w:pPr>
      <w:r w:rsidRPr="00DF1822">
        <w:rPr>
          <w:b/>
          <w:sz w:val="16"/>
          <w:szCs w:val="16"/>
        </w:rPr>
        <w:t>Price</w:t>
      </w:r>
      <w:r>
        <w:rPr>
          <w:b/>
          <w:sz w:val="16"/>
          <w:szCs w:val="16"/>
        </w:rPr>
        <w:t xml:space="preserve">-to-earnings is </w:t>
      </w:r>
      <w:r w:rsidR="00CB267F">
        <w:rPr>
          <w:b/>
          <w:sz w:val="16"/>
          <w:szCs w:val="16"/>
        </w:rPr>
        <w:t>price</w:t>
      </w:r>
      <w:r>
        <w:rPr>
          <w:b/>
          <w:sz w:val="16"/>
          <w:szCs w:val="16"/>
        </w:rPr>
        <w:t xml:space="preserve"> dividend by consensus analyst estimates of earnings per share for the next 12 months as provided by </w:t>
      </w:r>
      <w:proofErr w:type="spellStart"/>
      <w:r>
        <w:rPr>
          <w:b/>
          <w:sz w:val="16"/>
          <w:szCs w:val="16"/>
        </w:rPr>
        <w:t>IBES</w:t>
      </w:r>
      <w:proofErr w:type="spellEnd"/>
      <w:r>
        <w:rPr>
          <w:b/>
          <w:sz w:val="16"/>
          <w:szCs w:val="16"/>
        </w:rPr>
        <w:t xml:space="preserve"> since December 1997 and by FactSet since January 2022. </w:t>
      </w:r>
    </w:p>
    <w:p w14:paraId="7DB3A0D1" w14:textId="6F2D7CEA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F1E1B1D" w14:textId="3C92E546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And while U.S. stocks had a tough year, perhaps the bigger news was what occurred in the </w:t>
      </w:r>
      <w:r w:rsidR="00A43BAF">
        <w:rPr>
          <w:bCs/>
        </w:rPr>
        <w:t>bond</w:t>
      </w:r>
      <w:r>
        <w:rPr>
          <w:bCs/>
        </w:rPr>
        <w:t xml:space="preserve"> market. The change in Federal Reserve interest rate policy </w:t>
      </w:r>
      <w:proofErr w:type="gramStart"/>
      <w:r>
        <w:rPr>
          <w:bCs/>
        </w:rPr>
        <w:t>as a result of</w:t>
      </w:r>
      <w:proofErr w:type="gramEnd"/>
      <w:r>
        <w:rPr>
          <w:bCs/>
        </w:rPr>
        <w:t xml:space="preserve"> rising inflation caused bonds to fa</w:t>
      </w:r>
      <w:r w:rsidR="00EC482E">
        <w:rPr>
          <w:bCs/>
        </w:rPr>
        <w:t>ll</w:t>
      </w:r>
      <w:r>
        <w:rPr>
          <w:bCs/>
        </w:rPr>
        <w:t xml:space="preserve"> in price. </w:t>
      </w:r>
    </w:p>
    <w:p w14:paraId="5DFA9062" w14:textId="6CD1BA6D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>Here is how various maturities and types of bonds fared in 2022.</w:t>
      </w:r>
    </w:p>
    <w:p w14:paraId="4CAFF5C8" w14:textId="6568DE41" w:rsidR="00523E82" w:rsidRPr="00523E82" w:rsidRDefault="00523E82" w:rsidP="005B67A1">
      <w:pPr>
        <w:tabs>
          <w:tab w:val="left" w:pos="480"/>
          <w:tab w:val="left" w:pos="540"/>
          <w:tab w:val="left" w:pos="885"/>
          <w:tab w:val="left" w:pos="5850"/>
        </w:tabs>
        <w:ind w:firstLine="0"/>
        <w:jc w:val="center"/>
        <w:rPr>
          <w:b/>
        </w:rPr>
      </w:pPr>
      <w:r>
        <w:rPr>
          <w:b/>
        </w:rPr>
        <w:lastRenderedPageBreak/>
        <w:t>FIXED INCOME MARKET DYNAMICS</w:t>
      </w:r>
    </w:p>
    <w:p w14:paraId="3DD70154" w14:textId="7C5AB706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610"/>
      </w:tblGrid>
      <w:tr w:rsidR="00426370" w14:paraId="034A963E" w14:textId="77777777" w:rsidTr="00426370">
        <w:tc>
          <w:tcPr>
            <w:tcW w:w="1916" w:type="dxa"/>
          </w:tcPr>
          <w:p w14:paraId="04FAE6C6" w14:textId="77777777" w:rsidR="00426370" w:rsidRPr="00523E82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/>
              </w:rPr>
            </w:pPr>
            <w:r w:rsidRPr="00523E82">
              <w:rPr>
                <w:b/>
              </w:rPr>
              <w:t>U.S. Treasuries</w:t>
            </w:r>
          </w:p>
        </w:tc>
        <w:tc>
          <w:tcPr>
            <w:tcW w:w="1610" w:type="dxa"/>
          </w:tcPr>
          <w:p w14:paraId="2873F354" w14:textId="77777777" w:rsidR="00426370" w:rsidRPr="00523E82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523E82">
              <w:rPr>
                <w:b/>
              </w:rPr>
              <w:t>2022 Return</w:t>
            </w:r>
          </w:p>
        </w:tc>
      </w:tr>
      <w:tr w:rsidR="00426370" w14:paraId="782085C1" w14:textId="77777777" w:rsidTr="00426370">
        <w:tc>
          <w:tcPr>
            <w:tcW w:w="1916" w:type="dxa"/>
          </w:tcPr>
          <w:p w14:paraId="5F7268E4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2-Year</w:t>
            </w:r>
          </w:p>
        </w:tc>
        <w:tc>
          <w:tcPr>
            <w:tcW w:w="1610" w:type="dxa"/>
          </w:tcPr>
          <w:p w14:paraId="432EDEA7" w14:textId="77777777" w:rsidR="00426370" w:rsidRDefault="00426370" w:rsidP="00426370">
            <w:pPr>
              <w:tabs>
                <w:tab w:val="left" w:pos="480"/>
                <w:tab w:val="left" w:pos="540"/>
                <w:tab w:val="center" w:pos="697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     -4.11%</w:t>
            </w:r>
          </w:p>
        </w:tc>
      </w:tr>
      <w:tr w:rsidR="00426370" w14:paraId="6C104A1C" w14:textId="77777777" w:rsidTr="00426370">
        <w:tc>
          <w:tcPr>
            <w:tcW w:w="1916" w:type="dxa"/>
          </w:tcPr>
          <w:p w14:paraId="12B83C32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5-Year</w:t>
            </w:r>
          </w:p>
        </w:tc>
        <w:tc>
          <w:tcPr>
            <w:tcW w:w="1610" w:type="dxa"/>
          </w:tcPr>
          <w:p w14:paraId="40EA000A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  -9.74%</w:t>
            </w:r>
          </w:p>
        </w:tc>
      </w:tr>
      <w:tr w:rsidR="00426370" w14:paraId="7F072943" w14:textId="77777777" w:rsidTr="00426370">
        <w:tc>
          <w:tcPr>
            <w:tcW w:w="1916" w:type="dxa"/>
          </w:tcPr>
          <w:p w14:paraId="47F80324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TIPS</w:t>
            </w:r>
          </w:p>
        </w:tc>
        <w:tc>
          <w:tcPr>
            <w:tcW w:w="1610" w:type="dxa"/>
          </w:tcPr>
          <w:p w14:paraId="109D565F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-11.85%</w:t>
            </w:r>
          </w:p>
        </w:tc>
      </w:tr>
      <w:tr w:rsidR="00426370" w14:paraId="6100ECA3" w14:textId="77777777" w:rsidTr="00426370">
        <w:tc>
          <w:tcPr>
            <w:tcW w:w="1916" w:type="dxa"/>
          </w:tcPr>
          <w:p w14:paraId="50C6FCBB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10-Year</w:t>
            </w:r>
          </w:p>
        </w:tc>
        <w:tc>
          <w:tcPr>
            <w:tcW w:w="1610" w:type="dxa"/>
          </w:tcPr>
          <w:p w14:paraId="7CDA627A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-16.33%</w:t>
            </w:r>
          </w:p>
        </w:tc>
      </w:tr>
      <w:tr w:rsidR="00426370" w14:paraId="02677787" w14:textId="77777777" w:rsidTr="00426370">
        <w:tc>
          <w:tcPr>
            <w:tcW w:w="1916" w:type="dxa"/>
          </w:tcPr>
          <w:p w14:paraId="7B830F0A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30-Year</w:t>
            </w:r>
          </w:p>
        </w:tc>
        <w:tc>
          <w:tcPr>
            <w:tcW w:w="1610" w:type="dxa"/>
          </w:tcPr>
          <w:p w14:paraId="6DE4ED10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-33.29%</w:t>
            </w:r>
          </w:p>
        </w:tc>
      </w:tr>
      <w:tr w:rsidR="00426370" w14:paraId="4231034C" w14:textId="77777777" w:rsidTr="00426370">
        <w:tc>
          <w:tcPr>
            <w:tcW w:w="1916" w:type="dxa"/>
          </w:tcPr>
          <w:p w14:paraId="56611B22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610" w:type="dxa"/>
          </w:tcPr>
          <w:p w14:paraId="665ABDD2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</w:tc>
      </w:tr>
      <w:tr w:rsidR="00426370" w14:paraId="5505117F" w14:textId="77777777" w:rsidTr="00426370">
        <w:tc>
          <w:tcPr>
            <w:tcW w:w="1916" w:type="dxa"/>
          </w:tcPr>
          <w:p w14:paraId="6D584490" w14:textId="77777777" w:rsidR="00426370" w:rsidRP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/>
              </w:rPr>
            </w:pPr>
            <w:r w:rsidRPr="00426370">
              <w:rPr>
                <w:b/>
              </w:rPr>
              <w:t>U.S. Aggregate</w:t>
            </w:r>
          </w:p>
        </w:tc>
        <w:tc>
          <w:tcPr>
            <w:tcW w:w="1610" w:type="dxa"/>
          </w:tcPr>
          <w:p w14:paraId="6E4B2CDD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-13.01%</w:t>
            </w:r>
          </w:p>
        </w:tc>
      </w:tr>
      <w:tr w:rsidR="00426370" w14:paraId="0F80399B" w14:textId="77777777" w:rsidTr="00426370">
        <w:tc>
          <w:tcPr>
            <w:tcW w:w="1916" w:type="dxa"/>
          </w:tcPr>
          <w:p w14:paraId="3E7D0EAD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610" w:type="dxa"/>
          </w:tcPr>
          <w:p w14:paraId="5EA8DF02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</w:tc>
      </w:tr>
      <w:tr w:rsidR="00426370" w14:paraId="14755ED4" w14:textId="77777777" w:rsidTr="00426370">
        <w:tc>
          <w:tcPr>
            <w:tcW w:w="1916" w:type="dxa"/>
          </w:tcPr>
          <w:p w14:paraId="452E95AC" w14:textId="77777777" w:rsidR="00426370" w:rsidRP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/>
              </w:rPr>
            </w:pPr>
            <w:r w:rsidRPr="00426370">
              <w:rPr>
                <w:b/>
              </w:rPr>
              <w:t>Municipals</w:t>
            </w:r>
          </w:p>
        </w:tc>
        <w:tc>
          <w:tcPr>
            <w:tcW w:w="1610" w:type="dxa"/>
          </w:tcPr>
          <w:p w14:paraId="2730C153" w14:textId="77777777" w:rsidR="00426370" w:rsidRDefault="00426370" w:rsidP="00426370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-8.53%</w:t>
            </w:r>
          </w:p>
        </w:tc>
      </w:tr>
    </w:tbl>
    <w:p w14:paraId="3F2C5445" w14:textId="22A9B4E8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638DF9F4" w14:textId="58BADF07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140B0422" w14:textId="05AA581C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7302CFC8" w14:textId="4DEA32E7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2CAF9C83" w14:textId="68142A33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68A3D3D8" w14:textId="70030631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F118840" w14:textId="1EA4E23C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687C940" w14:textId="12407199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4D52A9C9" w14:textId="77486E7D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0C3B5E2" w14:textId="5F257E55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C6C7DE9" w14:textId="2927373A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96EB962" w14:textId="37A1AE88" w:rsidR="00523E82" w:rsidRPr="00426370" w:rsidRDefault="00426370" w:rsidP="00426370">
      <w:pPr>
        <w:tabs>
          <w:tab w:val="left" w:pos="1515"/>
        </w:tabs>
        <w:ind w:firstLine="0"/>
        <w:rPr>
          <w:b/>
          <w:sz w:val="16"/>
          <w:szCs w:val="16"/>
        </w:rPr>
      </w:pPr>
      <w:r>
        <w:rPr>
          <w:bCs/>
        </w:rPr>
        <w:tab/>
        <w:t xml:space="preserve">                     </w:t>
      </w:r>
      <w:r w:rsidRPr="00426370">
        <w:rPr>
          <w:b/>
          <w:sz w:val="16"/>
          <w:szCs w:val="16"/>
        </w:rPr>
        <w:t>Source: Bloomberg, FactSet, Standard &amp; Poor’s, U.S.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  <w:r w:rsidRPr="00426370">
        <w:rPr>
          <w:b/>
          <w:sz w:val="16"/>
          <w:szCs w:val="16"/>
        </w:rPr>
        <w:t xml:space="preserve"> Treasury, J.P. Morgan Asset Management. </w:t>
      </w:r>
    </w:p>
    <w:p w14:paraId="6643DA61" w14:textId="541DA137" w:rsidR="00523E82" w:rsidRDefault="00523E8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666D5AF4" w14:textId="17D125E2" w:rsid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And not surprisingly, foreign stock markets also posted negative returns. And because the U.S. dollar rose throughout 2022 until it peaked in late September, dollar based investors did worse </w:t>
      </w:r>
      <w:r w:rsidR="00240532">
        <w:rPr>
          <w:bCs/>
        </w:rPr>
        <w:t xml:space="preserve">than those invested in their local </w:t>
      </w:r>
      <w:r w:rsidR="00BB3C89">
        <w:rPr>
          <w:bCs/>
        </w:rPr>
        <w:t>currencies</w:t>
      </w:r>
      <w:r w:rsidR="00240532">
        <w:rPr>
          <w:bCs/>
        </w:rPr>
        <w:t>.</w:t>
      </w:r>
    </w:p>
    <w:p w14:paraId="14B38D65" w14:textId="50B15752" w:rsidR="00240532" w:rsidRDefault="0024053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E6FBC4E" w14:textId="5F97DC2B" w:rsidR="00426370" w:rsidRDefault="00426370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5FE643AC" w14:textId="5026A3AB" w:rsidR="00426370" w:rsidRPr="00426370" w:rsidRDefault="00426370" w:rsidP="00A8376E">
      <w:pPr>
        <w:tabs>
          <w:tab w:val="left" w:pos="480"/>
          <w:tab w:val="left" w:pos="540"/>
          <w:tab w:val="left" w:pos="885"/>
        </w:tabs>
        <w:ind w:firstLine="0"/>
        <w:jc w:val="center"/>
        <w:rPr>
          <w:b/>
        </w:rPr>
      </w:pPr>
      <w:r>
        <w:rPr>
          <w:b/>
        </w:rPr>
        <w:t>GLOBAL EQUITY MARKETS</w:t>
      </w:r>
    </w:p>
    <w:p w14:paraId="7E67A2B2" w14:textId="68D991F4" w:rsidR="00426370" w:rsidRDefault="00426370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7DC13140" w14:textId="778B6EDD" w:rsidR="00426370" w:rsidRDefault="00426370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tbl>
      <w:tblPr>
        <w:tblStyle w:val="TableGrid"/>
        <w:tblpPr w:leftFromText="180" w:rightFromText="180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1016"/>
        <w:gridCol w:w="1036"/>
      </w:tblGrid>
      <w:tr w:rsidR="0086626B" w14:paraId="10550BA2" w14:textId="77777777" w:rsidTr="00E304CC">
        <w:tc>
          <w:tcPr>
            <w:tcW w:w="2249" w:type="dxa"/>
          </w:tcPr>
          <w:p w14:paraId="7B705DD2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016" w:type="dxa"/>
          </w:tcPr>
          <w:p w14:paraId="20CC3A13" w14:textId="77777777" w:rsidR="0086626B" w:rsidRPr="00426370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426370">
              <w:rPr>
                <w:b/>
              </w:rPr>
              <w:t>Local</w:t>
            </w:r>
          </w:p>
        </w:tc>
        <w:tc>
          <w:tcPr>
            <w:tcW w:w="1036" w:type="dxa"/>
          </w:tcPr>
          <w:p w14:paraId="55DCBD3F" w14:textId="77777777" w:rsidR="0086626B" w:rsidRPr="00426370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426370">
              <w:rPr>
                <w:b/>
              </w:rPr>
              <w:t>US$</w:t>
            </w:r>
          </w:p>
        </w:tc>
      </w:tr>
      <w:tr w:rsidR="0086626B" w14:paraId="2A6B7E43" w14:textId="77777777" w:rsidTr="00E304CC">
        <w:tc>
          <w:tcPr>
            <w:tcW w:w="2249" w:type="dxa"/>
          </w:tcPr>
          <w:p w14:paraId="29ABEEFD" w14:textId="77777777" w:rsidR="0086626B" w:rsidRPr="00426370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/>
              </w:rPr>
            </w:pPr>
            <w:r>
              <w:rPr>
                <w:b/>
              </w:rPr>
              <w:t>Selected Countries</w:t>
            </w:r>
          </w:p>
        </w:tc>
        <w:tc>
          <w:tcPr>
            <w:tcW w:w="1016" w:type="dxa"/>
          </w:tcPr>
          <w:p w14:paraId="43FC2F09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036" w:type="dxa"/>
          </w:tcPr>
          <w:p w14:paraId="3CA53EEA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</w:tr>
      <w:tr w:rsidR="0086626B" w14:paraId="7E8955E8" w14:textId="77777777" w:rsidTr="00E304CC">
        <w:tc>
          <w:tcPr>
            <w:tcW w:w="2249" w:type="dxa"/>
          </w:tcPr>
          <w:p w14:paraId="78D78F5A" w14:textId="77777777" w:rsidR="0086626B" w:rsidRP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1016" w:type="dxa"/>
          </w:tcPr>
          <w:p w14:paraId="00A366B0" w14:textId="39CF0708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 7.2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17A70C23" w14:textId="564D9473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-4.8</w:t>
            </w:r>
            <w:r w:rsidR="008C683C">
              <w:rPr>
                <w:bCs/>
              </w:rPr>
              <w:t>%</w:t>
            </w:r>
          </w:p>
        </w:tc>
      </w:tr>
      <w:tr w:rsidR="0086626B" w14:paraId="2DE8188B" w14:textId="77777777" w:rsidTr="00E304CC">
        <w:tc>
          <w:tcPr>
            <w:tcW w:w="2249" w:type="dxa"/>
          </w:tcPr>
          <w:p w14:paraId="75B19DA7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France</w:t>
            </w:r>
          </w:p>
        </w:tc>
        <w:tc>
          <w:tcPr>
            <w:tcW w:w="1016" w:type="dxa"/>
          </w:tcPr>
          <w:p w14:paraId="39F9F559" w14:textId="198DA17D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-6.9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45461D8A" w14:textId="6978E644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-12.7</w:t>
            </w:r>
            <w:r w:rsidR="008C683C">
              <w:rPr>
                <w:bCs/>
              </w:rPr>
              <w:t>%</w:t>
            </w:r>
          </w:p>
        </w:tc>
      </w:tr>
      <w:tr w:rsidR="0086626B" w14:paraId="0AB35141" w14:textId="77777777" w:rsidTr="00E304CC">
        <w:tc>
          <w:tcPr>
            <w:tcW w:w="2249" w:type="dxa"/>
          </w:tcPr>
          <w:p w14:paraId="3C024511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Germany</w:t>
            </w:r>
          </w:p>
        </w:tc>
        <w:tc>
          <w:tcPr>
            <w:tcW w:w="1016" w:type="dxa"/>
          </w:tcPr>
          <w:p w14:paraId="3E207C56" w14:textId="5E269ED6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-16.5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7F4EBCF0" w14:textId="0AA8534F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-21.6</w:t>
            </w:r>
            <w:r w:rsidR="008C683C">
              <w:rPr>
                <w:bCs/>
              </w:rPr>
              <w:t>%</w:t>
            </w:r>
          </w:p>
        </w:tc>
      </w:tr>
      <w:tr w:rsidR="0086626B" w14:paraId="4587329B" w14:textId="77777777" w:rsidTr="00E304CC">
        <w:tc>
          <w:tcPr>
            <w:tcW w:w="2249" w:type="dxa"/>
          </w:tcPr>
          <w:p w14:paraId="1C40ED14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Japan</w:t>
            </w:r>
          </w:p>
        </w:tc>
        <w:tc>
          <w:tcPr>
            <w:tcW w:w="1016" w:type="dxa"/>
          </w:tcPr>
          <w:p w14:paraId="01D3D02B" w14:textId="7690AFD3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-4.1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35E5A211" w14:textId="27B61F59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-16.3</w:t>
            </w:r>
            <w:r w:rsidR="008C683C">
              <w:rPr>
                <w:bCs/>
              </w:rPr>
              <w:t>%</w:t>
            </w:r>
          </w:p>
        </w:tc>
      </w:tr>
      <w:tr w:rsidR="0086626B" w14:paraId="0311A50A" w14:textId="77777777" w:rsidTr="00E304CC">
        <w:tc>
          <w:tcPr>
            <w:tcW w:w="2249" w:type="dxa"/>
          </w:tcPr>
          <w:p w14:paraId="6EAD3946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China</w:t>
            </w:r>
          </w:p>
        </w:tc>
        <w:tc>
          <w:tcPr>
            <w:tcW w:w="1016" w:type="dxa"/>
          </w:tcPr>
          <w:p w14:paraId="067B31E3" w14:textId="10DD702D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-20.6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3F3583E4" w14:textId="1A2535D5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-21.8</w:t>
            </w:r>
            <w:r w:rsidR="008C683C">
              <w:rPr>
                <w:bCs/>
              </w:rPr>
              <w:t>%</w:t>
            </w:r>
          </w:p>
        </w:tc>
      </w:tr>
      <w:tr w:rsidR="0086626B" w14:paraId="4A31D3B9" w14:textId="77777777" w:rsidTr="00E304CC">
        <w:tc>
          <w:tcPr>
            <w:tcW w:w="2249" w:type="dxa"/>
          </w:tcPr>
          <w:p w14:paraId="56F510A0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India</w:t>
            </w:r>
          </w:p>
        </w:tc>
        <w:tc>
          <w:tcPr>
            <w:tcW w:w="1016" w:type="dxa"/>
          </w:tcPr>
          <w:p w14:paraId="128BB979" w14:textId="208EEACC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 3.0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15571E4B" w14:textId="25D2535A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-7.5</w:t>
            </w:r>
            <w:r w:rsidR="008C683C">
              <w:rPr>
                <w:bCs/>
              </w:rPr>
              <w:t>%</w:t>
            </w:r>
          </w:p>
        </w:tc>
      </w:tr>
      <w:tr w:rsidR="0086626B" w14:paraId="42EA43EB" w14:textId="77777777" w:rsidTr="00E304CC">
        <w:tc>
          <w:tcPr>
            <w:tcW w:w="2249" w:type="dxa"/>
          </w:tcPr>
          <w:p w14:paraId="74944E0D" w14:textId="77777777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Brazil</w:t>
            </w:r>
          </w:p>
        </w:tc>
        <w:tc>
          <w:tcPr>
            <w:tcW w:w="1016" w:type="dxa"/>
          </w:tcPr>
          <w:p w14:paraId="78832D80" w14:textId="10D462DD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 8.6</w:t>
            </w:r>
            <w:r w:rsidR="008C683C">
              <w:rPr>
                <w:bCs/>
              </w:rPr>
              <w:t>%</w:t>
            </w:r>
          </w:p>
        </w:tc>
        <w:tc>
          <w:tcPr>
            <w:tcW w:w="1036" w:type="dxa"/>
          </w:tcPr>
          <w:p w14:paraId="5B756D2D" w14:textId="3EE1707B" w:rsidR="0086626B" w:rsidRDefault="0086626B" w:rsidP="0086626B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14.6</w:t>
            </w:r>
            <w:r w:rsidR="008C683C">
              <w:rPr>
                <w:bCs/>
              </w:rPr>
              <w:t>%</w:t>
            </w:r>
          </w:p>
        </w:tc>
      </w:tr>
      <w:tr w:rsidR="0086626B" w14:paraId="32631923" w14:textId="77777777" w:rsidTr="00E304CC">
        <w:trPr>
          <w:trHeight w:val="293"/>
        </w:trPr>
        <w:tc>
          <w:tcPr>
            <w:tcW w:w="2249" w:type="dxa"/>
          </w:tcPr>
          <w:p w14:paraId="303C6FC7" w14:textId="77777777" w:rsidR="0086626B" w:rsidRDefault="0086626B" w:rsidP="005B67A1">
            <w:pPr>
              <w:pStyle w:val="NoSpacing"/>
              <w:ind w:firstLine="60"/>
            </w:pPr>
            <w:r>
              <w:t>Korea</w:t>
            </w:r>
          </w:p>
        </w:tc>
        <w:tc>
          <w:tcPr>
            <w:tcW w:w="1016" w:type="dxa"/>
          </w:tcPr>
          <w:p w14:paraId="1999043B" w14:textId="69A5015D" w:rsidR="0086626B" w:rsidRDefault="0086626B" w:rsidP="005B67A1">
            <w:pPr>
              <w:pStyle w:val="NoSpacing"/>
              <w:ind w:left="-14" w:firstLine="90"/>
            </w:pPr>
            <w:r>
              <w:t>-24.4</w:t>
            </w:r>
            <w:r w:rsidR="008C683C">
              <w:t>%</w:t>
            </w:r>
          </w:p>
        </w:tc>
        <w:tc>
          <w:tcPr>
            <w:tcW w:w="1036" w:type="dxa"/>
          </w:tcPr>
          <w:p w14:paraId="1E44043B" w14:textId="7A322F16" w:rsidR="0086626B" w:rsidRDefault="0086626B" w:rsidP="005B67A1">
            <w:pPr>
              <w:pStyle w:val="NoSpacing"/>
              <w:ind w:firstLine="46"/>
            </w:pPr>
            <w:r>
              <w:t>-28.9</w:t>
            </w:r>
            <w:r w:rsidR="008C683C">
              <w:t>%</w:t>
            </w:r>
          </w:p>
        </w:tc>
      </w:tr>
    </w:tbl>
    <w:p w14:paraId="3B2915FD" w14:textId="323D4E92" w:rsidR="00426370" w:rsidRDefault="00426370" w:rsidP="005B67A1">
      <w:pPr>
        <w:pStyle w:val="NoSpacing"/>
      </w:pPr>
    </w:p>
    <w:p w14:paraId="74FC11B3" w14:textId="053FF7FE" w:rsidR="00426370" w:rsidRDefault="00426370" w:rsidP="005B67A1">
      <w:pPr>
        <w:pStyle w:val="NoSpacing"/>
      </w:pPr>
    </w:p>
    <w:p w14:paraId="02197769" w14:textId="2606AA19" w:rsidR="00426370" w:rsidRDefault="00426370" w:rsidP="005B67A1">
      <w:pPr>
        <w:pStyle w:val="NoSpacing"/>
      </w:pPr>
    </w:p>
    <w:p w14:paraId="68B84857" w14:textId="00BC187C" w:rsidR="00426370" w:rsidRDefault="00426370" w:rsidP="005B67A1">
      <w:pPr>
        <w:pStyle w:val="NoSpacing"/>
      </w:pPr>
    </w:p>
    <w:p w14:paraId="4B040F95" w14:textId="75D6AC5B" w:rsidR="00426370" w:rsidRDefault="00426370" w:rsidP="005B67A1">
      <w:pPr>
        <w:pStyle w:val="NoSpacing"/>
      </w:pPr>
    </w:p>
    <w:p w14:paraId="479F1392" w14:textId="3CBEB343" w:rsidR="00426370" w:rsidRDefault="00426370" w:rsidP="005B67A1">
      <w:pPr>
        <w:pStyle w:val="NoSpacing"/>
      </w:pPr>
    </w:p>
    <w:p w14:paraId="7AEFE867" w14:textId="60B3BA2B" w:rsidR="00426370" w:rsidRDefault="00426370" w:rsidP="005B67A1">
      <w:pPr>
        <w:pStyle w:val="NoSpacing"/>
      </w:pPr>
    </w:p>
    <w:p w14:paraId="69F9DC1C" w14:textId="317E0BDE" w:rsidR="00426370" w:rsidRDefault="00426370" w:rsidP="005B67A1">
      <w:pPr>
        <w:pStyle w:val="NoSpacing"/>
      </w:pPr>
    </w:p>
    <w:p w14:paraId="4B9A1A7D" w14:textId="71F71B41" w:rsidR="00426370" w:rsidRDefault="00426370" w:rsidP="005B67A1">
      <w:pPr>
        <w:pStyle w:val="NoSpacing"/>
      </w:pPr>
    </w:p>
    <w:p w14:paraId="4CC6B0B0" w14:textId="77777777" w:rsidR="0086626B" w:rsidRDefault="0086626B" w:rsidP="005B67A1">
      <w:pPr>
        <w:pStyle w:val="NoSpacing"/>
      </w:pPr>
    </w:p>
    <w:p w14:paraId="26E98784" w14:textId="77777777" w:rsidR="005B67A1" w:rsidRDefault="005B67A1" w:rsidP="005B67A1">
      <w:pPr>
        <w:pStyle w:val="NoSpacing"/>
        <w:tabs>
          <w:tab w:val="left" w:pos="2430"/>
          <w:tab w:val="left" w:pos="7920"/>
        </w:tabs>
      </w:pPr>
      <w:r>
        <w:t xml:space="preserve">                </w:t>
      </w:r>
      <w:r w:rsidR="0086626B">
        <w:t xml:space="preserve">           </w:t>
      </w:r>
      <w:r>
        <w:t xml:space="preserve">  </w:t>
      </w:r>
    </w:p>
    <w:p w14:paraId="30D2D638" w14:textId="33178790" w:rsidR="00426370" w:rsidRPr="0086626B" w:rsidRDefault="005B67A1" w:rsidP="005B67A1">
      <w:pPr>
        <w:pStyle w:val="NoSpacing"/>
        <w:tabs>
          <w:tab w:val="left" w:pos="2430"/>
          <w:tab w:val="left" w:pos="8010"/>
        </w:tabs>
        <w:rPr>
          <w:b/>
          <w:sz w:val="16"/>
          <w:szCs w:val="16"/>
        </w:rPr>
      </w:pPr>
      <w:r>
        <w:t xml:space="preserve">                                         </w:t>
      </w:r>
      <w:r w:rsidR="0086626B" w:rsidRPr="0086626B">
        <w:rPr>
          <w:b/>
          <w:sz w:val="16"/>
          <w:szCs w:val="16"/>
        </w:rPr>
        <w:t>Source:  FactSet, Federal Reserve, MSCI, Standard &amp; Poor’s, J.P. Morgan Asset Management</w:t>
      </w:r>
    </w:p>
    <w:p w14:paraId="7D05FB03" w14:textId="77777777" w:rsidR="007F14C7" w:rsidRDefault="007F14C7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6659BB1E" w14:textId="1FDA397F" w:rsidR="00240532" w:rsidRDefault="00A43BAF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  <w:r>
        <w:rPr>
          <w:bCs/>
        </w:rPr>
        <w:t>And y</w:t>
      </w:r>
      <w:r w:rsidR="00240532">
        <w:rPr>
          <w:bCs/>
        </w:rPr>
        <w:t>ou may note that despite a strong dollar, foreign developed country equities slightly outperformed the S&amp;P 500</w:t>
      </w:r>
      <w:r w:rsidR="006176E2">
        <w:rPr>
          <w:bCs/>
        </w:rPr>
        <w:t>.</w:t>
      </w:r>
    </w:p>
    <w:p w14:paraId="11DC6E11" w14:textId="77777777" w:rsidR="006176E2" w:rsidRDefault="006176E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tbl>
      <w:tblPr>
        <w:tblStyle w:val="TableGrid"/>
        <w:tblW w:w="5833" w:type="dxa"/>
        <w:tblInd w:w="1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156"/>
      </w:tblGrid>
      <w:tr w:rsidR="00240532" w14:paraId="22C986C6" w14:textId="77777777" w:rsidTr="00BD4DD5">
        <w:tc>
          <w:tcPr>
            <w:tcW w:w="4677" w:type="dxa"/>
          </w:tcPr>
          <w:p w14:paraId="5F86E552" w14:textId="77777777" w:rsidR="00240532" w:rsidRDefault="0024053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</w:p>
        </w:tc>
        <w:tc>
          <w:tcPr>
            <w:tcW w:w="1156" w:type="dxa"/>
          </w:tcPr>
          <w:p w14:paraId="55185D8B" w14:textId="262E1183" w:rsidR="00240532" w:rsidRPr="00240532" w:rsidRDefault="00240532" w:rsidP="0024053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/>
              </w:rPr>
            </w:pPr>
            <w:r w:rsidRPr="00240532">
              <w:rPr>
                <w:b/>
              </w:rPr>
              <w:t>2022</w:t>
            </w:r>
          </w:p>
        </w:tc>
      </w:tr>
      <w:tr w:rsidR="00240532" w14:paraId="74A24A0C" w14:textId="77777777" w:rsidTr="00BD4DD5">
        <w:tc>
          <w:tcPr>
            <w:tcW w:w="4677" w:type="dxa"/>
          </w:tcPr>
          <w:p w14:paraId="28441546" w14:textId="5DA4E43C" w:rsidR="00240532" w:rsidRDefault="0024053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S&amp;P 500</w:t>
            </w:r>
          </w:p>
        </w:tc>
        <w:tc>
          <w:tcPr>
            <w:tcW w:w="1156" w:type="dxa"/>
          </w:tcPr>
          <w:p w14:paraId="56F0F2DF" w14:textId="1CA9ED41" w:rsidR="00240532" w:rsidRDefault="00240532" w:rsidP="0024053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-18.1</w:t>
            </w:r>
            <w:r w:rsidR="001B2F0A">
              <w:rPr>
                <w:bCs/>
              </w:rPr>
              <w:t>0%</w:t>
            </w:r>
          </w:p>
        </w:tc>
      </w:tr>
      <w:tr w:rsidR="00240532" w14:paraId="0E96EC0E" w14:textId="77777777" w:rsidTr="00BD4DD5">
        <w:tc>
          <w:tcPr>
            <w:tcW w:w="4677" w:type="dxa"/>
          </w:tcPr>
          <w:p w14:paraId="0E7C1EBB" w14:textId="37C4BE9A" w:rsidR="00240532" w:rsidRDefault="0024053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EAFE</w:t>
            </w:r>
            <w:proofErr w:type="spellEnd"/>
            <w:r>
              <w:rPr>
                <w:bCs/>
              </w:rPr>
              <w:t xml:space="preserve"> – Europe, </w:t>
            </w:r>
            <w:r w:rsidR="00BB3C89">
              <w:rPr>
                <w:bCs/>
              </w:rPr>
              <w:t>Australasia,</w:t>
            </w:r>
            <w:r>
              <w:rPr>
                <w:bCs/>
              </w:rPr>
              <w:t xml:space="preserve"> and the Far East</w:t>
            </w:r>
          </w:p>
          <w:p w14:paraId="119FF04E" w14:textId="73B33319" w:rsidR="00240532" w:rsidRDefault="0024053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21 developed market countries</w:t>
            </w:r>
          </w:p>
        </w:tc>
        <w:tc>
          <w:tcPr>
            <w:tcW w:w="1156" w:type="dxa"/>
          </w:tcPr>
          <w:p w14:paraId="3FD2A1D3" w14:textId="3CBC28EA" w:rsidR="00240532" w:rsidRDefault="00240532" w:rsidP="0024053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-14.00%</w:t>
            </w:r>
          </w:p>
        </w:tc>
      </w:tr>
      <w:tr w:rsidR="00240532" w14:paraId="3305965F" w14:textId="77777777" w:rsidTr="00BD4DD5">
        <w:tc>
          <w:tcPr>
            <w:tcW w:w="4677" w:type="dxa"/>
          </w:tcPr>
          <w:p w14:paraId="07B8AE33" w14:textId="20B1BCEA" w:rsidR="00240532" w:rsidRPr="00240532" w:rsidRDefault="00240532" w:rsidP="000B6523">
            <w:pPr>
              <w:tabs>
                <w:tab w:val="left" w:pos="480"/>
                <w:tab w:val="left" w:pos="540"/>
                <w:tab w:val="left" w:pos="885"/>
              </w:tabs>
              <w:ind w:firstLine="0"/>
              <w:rPr>
                <w:b/>
                <w:sz w:val="16"/>
                <w:szCs w:val="16"/>
              </w:rPr>
            </w:pPr>
            <w:proofErr w:type="spellStart"/>
            <w:r w:rsidRPr="00240532">
              <w:rPr>
                <w:b/>
                <w:sz w:val="16"/>
                <w:szCs w:val="16"/>
              </w:rPr>
              <w:t>Source:</w:t>
            </w:r>
            <w:r w:rsidR="00A43BAF">
              <w:rPr>
                <w:b/>
                <w:sz w:val="16"/>
                <w:szCs w:val="16"/>
              </w:rPr>
              <w:t>MSCI</w:t>
            </w:r>
            <w:proofErr w:type="spellEnd"/>
            <w:r w:rsidRPr="002405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14:paraId="52FF9BB7" w14:textId="77777777" w:rsidR="00240532" w:rsidRDefault="00240532" w:rsidP="00240532">
            <w:pPr>
              <w:tabs>
                <w:tab w:val="left" w:pos="480"/>
                <w:tab w:val="left" w:pos="540"/>
                <w:tab w:val="left" w:pos="885"/>
              </w:tabs>
              <w:ind w:firstLine="0"/>
              <w:jc w:val="center"/>
              <w:rPr>
                <w:bCs/>
              </w:rPr>
            </w:pPr>
          </w:p>
        </w:tc>
      </w:tr>
    </w:tbl>
    <w:p w14:paraId="25FD18D5" w14:textId="77777777" w:rsidR="00240532" w:rsidRDefault="00240532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71FDA5A" w14:textId="77777777" w:rsidR="000B6523" w:rsidRPr="000B6523" w:rsidRDefault="000B6523" w:rsidP="000B6523">
      <w:pPr>
        <w:tabs>
          <w:tab w:val="left" w:pos="480"/>
          <w:tab w:val="left" w:pos="540"/>
          <w:tab w:val="left" w:pos="885"/>
        </w:tabs>
        <w:ind w:firstLine="0"/>
        <w:rPr>
          <w:bCs/>
        </w:rPr>
      </w:pPr>
    </w:p>
    <w:p w14:paraId="3F9E76A5" w14:textId="78B6F279" w:rsidR="001B29AF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/>
        </w:rPr>
        <w:lastRenderedPageBreak/>
        <w:tab/>
      </w:r>
      <w:r>
        <w:rPr>
          <w:bCs/>
        </w:rPr>
        <w:t>I believe this is interesting because U.S. equities have outperformed foreign stocks for over 15 years.</w:t>
      </w:r>
      <w:r w:rsidR="00A43BAF">
        <w:rPr>
          <w:bCs/>
        </w:rPr>
        <w:t xml:space="preserve"> </w:t>
      </w:r>
    </w:p>
    <w:p w14:paraId="5024FD6F" w14:textId="1D810472" w:rsidR="00916FC6" w:rsidRDefault="003B2E88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Cs/>
        </w:rPr>
        <w:tab/>
      </w:r>
      <w:r w:rsidR="00916FC6">
        <w:rPr>
          <w:bCs/>
        </w:rPr>
        <w:t>Could this be a blip, or could we now see a period when international stocks outperform their domestic counterparts?</w:t>
      </w:r>
    </w:p>
    <w:p w14:paraId="4FA3801C" w14:textId="105DA946" w:rsidR="00916FC6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Cs/>
        </w:rPr>
        <w:tab/>
        <w:t>Stay tuned.</w:t>
      </w:r>
    </w:p>
    <w:p w14:paraId="15741235" w14:textId="4763C354" w:rsidR="00160F6E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/>
        </w:rPr>
        <w:tab/>
      </w:r>
      <w:r>
        <w:rPr>
          <w:bCs/>
        </w:rPr>
        <w:t xml:space="preserve">I mentioned </w:t>
      </w:r>
      <w:r w:rsidR="003B2E88">
        <w:rPr>
          <w:bCs/>
        </w:rPr>
        <w:t>F</w:t>
      </w:r>
      <w:r>
        <w:rPr>
          <w:bCs/>
        </w:rPr>
        <w:t>ederal Reserve policy. The Fed is raising interest rates to reduce U.S. inflation. That means they want to dampen consumer spending. Why focus on us, the consumer</w:t>
      </w:r>
      <w:r w:rsidR="00A43BAF">
        <w:rPr>
          <w:bCs/>
        </w:rPr>
        <w:t>?</w:t>
      </w:r>
    </w:p>
    <w:p w14:paraId="1065ACD5" w14:textId="42FBBE4A" w:rsidR="00916FC6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When you look at the components of U.S. Gross Domestic Product, it is obvious why we, the consumers, are the Fed’s target. </w:t>
      </w:r>
    </w:p>
    <w:p w14:paraId="4EBFF17A" w14:textId="77777777" w:rsidR="00395D36" w:rsidRDefault="00395D36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4B3453C8" w14:textId="317EFE11" w:rsidR="00916FC6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6FE5A6EB" w14:textId="77C0D394" w:rsidR="00916FC6" w:rsidRDefault="00BD4DD5" w:rsidP="003B2E88">
      <w:pPr>
        <w:tabs>
          <w:tab w:val="left" w:pos="480"/>
          <w:tab w:val="left" w:pos="885"/>
        </w:tabs>
        <w:ind w:firstLine="0"/>
        <w:jc w:val="center"/>
        <w:rPr>
          <w:b/>
        </w:rPr>
      </w:pPr>
      <w:r>
        <w:rPr>
          <w:b/>
        </w:rPr>
        <w:t>Components of GDP</w:t>
      </w:r>
    </w:p>
    <w:p w14:paraId="3B81C9CE" w14:textId="30E26390" w:rsidR="00BD4DD5" w:rsidRPr="00BD4DD5" w:rsidRDefault="00BD4DD5" w:rsidP="003B2E88">
      <w:pPr>
        <w:tabs>
          <w:tab w:val="left" w:pos="480"/>
          <w:tab w:val="left" w:pos="885"/>
        </w:tabs>
        <w:ind w:firstLine="0"/>
        <w:jc w:val="center"/>
        <w:rPr>
          <w:bCs/>
        </w:rPr>
      </w:pPr>
      <w:proofErr w:type="spellStart"/>
      <w:r w:rsidRPr="00BD4DD5">
        <w:rPr>
          <w:bCs/>
        </w:rPr>
        <w:t>3Q22</w:t>
      </w:r>
      <w:proofErr w:type="spellEnd"/>
      <w:r w:rsidRPr="00BD4DD5">
        <w:rPr>
          <w:bCs/>
        </w:rPr>
        <w:t xml:space="preserve"> nominal GDP, USD trillions</w:t>
      </w:r>
    </w:p>
    <w:p w14:paraId="7D2DE4CA" w14:textId="64AF1FBA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tbl>
      <w:tblPr>
        <w:tblStyle w:val="TableGrid"/>
        <w:tblpPr w:leftFromText="180" w:rightFromText="180" w:vertAnchor="text" w:horzAnchor="page" w:tblpX="4906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956"/>
      </w:tblGrid>
      <w:tr w:rsidR="00BD4DD5" w14:paraId="0084B4BE" w14:textId="77777777" w:rsidTr="00BD4DD5">
        <w:tc>
          <w:tcPr>
            <w:tcW w:w="2529" w:type="dxa"/>
          </w:tcPr>
          <w:p w14:paraId="4F547CF4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Housing</w:t>
            </w:r>
          </w:p>
        </w:tc>
        <w:tc>
          <w:tcPr>
            <w:tcW w:w="956" w:type="dxa"/>
          </w:tcPr>
          <w:p w14:paraId="774A82B1" w14:textId="0382C8E5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  4.3%</w:t>
            </w:r>
          </w:p>
        </w:tc>
      </w:tr>
      <w:tr w:rsidR="00BD4DD5" w14:paraId="1C3C759C" w14:textId="77777777" w:rsidTr="00BD4DD5">
        <w:tc>
          <w:tcPr>
            <w:tcW w:w="2529" w:type="dxa"/>
          </w:tcPr>
          <w:p w14:paraId="7E169AFC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Investment ex-housing</w:t>
            </w:r>
          </w:p>
        </w:tc>
        <w:tc>
          <w:tcPr>
            <w:tcW w:w="956" w:type="dxa"/>
          </w:tcPr>
          <w:p w14:paraId="4444BE11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13.5%</w:t>
            </w:r>
          </w:p>
        </w:tc>
      </w:tr>
      <w:tr w:rsidR="00BD4DD5" w14:paraId="753291A1" w14:textId="77777777" w:rsidTr="00BD4DD5">
        <w:tc>
          <w:tcPr>
            <w:tcW w:w="2529" w:type="dxa"/>
          </w:tcPr>
          <w:p w14:paraId="56789692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Government spending</w:t>
            </w:r>
          </w:p>
        </w:tc>
        <w:tc>
          <w:tcPr>
            <w:tcW w:w="956" w:type="dxa"/>
          </w:tcPr>
          <w:p w14:paraId="6B354204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17.5%</w:t>
            </w:r>
          </w:p>
        </w:tc>
      </w:tr>
      <w:tr w:rsidR="00BD4DD5" w14:paraId="5DF3C847" w14:textId="77777777" w:rsidTr="00BD4DD5">
        <w:tc>
          <w:tcPr>
            <w:tcW w:w="2529" w:type="dxa"/>
          </w:tcPr>
          <w:p w14:paraId="3009C932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Consumption</w:t>
            </w:r>
          </w:p>
        </w:tc>
        <w:tc>
          <w:tcPr>
            <w:tcW w:w="956" w:type="dxa"/>
          </w:tcPr>
          <w:p w14:paraId="027858D0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68.2%</w:t>
            </w:r>
          </w:p>
        </w:tc>
      </w:tr>
      <w:tr w:rsidR="00BD4DD5" w14:paraId="5AE6FF39" w14:textId="77777777" w:rsidTr="00BD4DD5">
        <w:tc>
          <w:tcPr>
            <w:tcW w:w="2529" w:type="dxa"/>
          </w:tcPr>
          <w:p w14:paraId="6C5725C8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Net exports</w:t>
            </w:r>
          </w:p>
        </w:tc>
        <w:tc>
          <w:tcPr>
            <w:tcW w:w="956" w:type="dxa"/>
          </w:tcPr>
          <w:p w14:paraId="66516044" w14:textId="77777777" w:rsidR="00BD4DD5" w:rsidRDefault="00BD4DD5" w:rsidP="00BD4DD5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>
              <w:rPr>
                <w:bCs/>
              </w:rPr>
              <w:t>-3.5%</w:t>
            </w:r>
          </w:p>
        </w:tc>
      </w:tr>
    </w:tbl>
    <w:p w14:paraId="2D6116A3" w14:textId="2B017C07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72FFDE73" w14:textId="77777777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34F0060C" w14:textId="7DEB9066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510FA0F9" w14:textId="5F9F5D7A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7FD1F62C" w14:textId="34DDE28E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3F494311" w14:textId="789EC913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7E94DF4D" w14:textId="54448856" w:rsidR="00BD4DD5" w:rsidRPr="00BD4DD5" w:rsidRDefault="00BD4DD5" w:rsidP="00BD4DD5">
      <w:pPr>
        <w:tabs>
          <w:tab w:val="left" w:pos="3330"/>
        </w:tabs>
        <w:ind w:firstLine="0"/>
        <w:rPr>
          <w:b/>
          <w:sz w:val="16"/>
          <w:szCs w:val="16"/>
        </w:rPr>
      </w:pPr>
      <w:r>
        <w:rPr>
          <w:bCs/>
        </w:rPr>
        <w:tab/>
      </w:r>
      <w:r w:rsidRPr="00BD4DD5">
        <w:rPr>
          <w:b/>
          <w:sz w:val="16"/>
          <w:szCs w:val="16"/>
        </w:rPr>
        <w:t xml:space="preserve">Source:  </w:t>
      </w:r>
      <w:r>
        <w:rPr>
          <w:b/>
          <w:sz w:val="16"/>
          <w:szCs w:val="16"/>
        </w:rPr>
        <w:t>BEA, FactSet, J.P. Morgan Asset Management</w:t>
      </w:r>
    </w:p>
    <w:p w14:paraId="11BAAFBE" w14:textId="50774D1A" w:rsidR="00BD4DD5" w:rsidRDefault="00BD4DD5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0BD5D0DD" w14:textId="77777777" w:rsidR="006176E2" w:rsidRDefault="006176E2" w:rsidP="00916FC6">
      <w:pPr>
        <w:tabs>
          <w:tab w:val="left" w:pos="480"/>
          <w:tab w:val="left" w:pos="885"/>
        </w:tabs>
        <w:ind w:firstLine="0"/>
        <w:rPr>
          <w:bCs/>
        </w:rPr>
      </w:pPr>
    </w:p>
    <w:p w14:paraId="5F5EF8A7" w14:textId="275FCC68" w:rsidR="00916FC6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Cs/>
        </w:rPr>
        <w:tab/>
        <w:t xml:space="preserve">And finally, I think it is useful to put our current interest rate environment in a longer term perspective. While mortgage rates, car loans and credit card rates are rising, here is where we have been over several decades. </w:t>
      </w:r>
    </w:p>
    <w:p w14:paraId="6D756D44" w14:textId="5BA80E42" w:rsidR="006176E2" w:rsidRDefault="00916FC6" w:rsidP="00916FC6">
      <w:pPr>
        <w:tabs>
          <w:tab w:val="left" w:pos="480"/>
          <w:tab w:val="left" w:pos="885"/>
        </w:tabs>
        <w:ind w:firstLine="0"/>
        <w:rPr>
          <w:bCs/>
        </w:rPr>
      </w:pPr>
      <w:r>
        <w:rPr>
          <w:bCs/>
        </w:rPr>
        <w:tab/>
        <w:t>The benchmark 10 year Treasury note yield peaked at 15.84% on September 30, 1981. On December 31</w:t>
      </w:r>
      <w:r w:rsidRPr="00916FC6">
        <w:rPr>
          <w:bCs/>
          <w:vertAlign w:val="superscript"/>
        </w:rPr>
        <w:t>st</w:t>
      </w:r>
      <w:r>
        <w:rPr>
          <w:bCs/>
        </w:rPr>
        <w:t xml:space="preserve"> of last year, it traded to yield 3.88%</w:t>
      </w:r>
      <w:r w:rsidR="00BD4DD5">
        <w:rPr>
          <w:bCs/>
        </w:rPr>
        <w:t xml:space="preserve">. </w:t>
      </w:r>
    </w:p>
    <w:p w14:paraId="0C078CBA" w14:textId="5937F41C" w:rsidR="00916FC6" w:rsidRDefault="005B67A1" w:rsidP="00916FC6">
      <w:pPr>
        <w:tabs>
          <w:tab w:val="left" w:pos="480"/>
          <w:tab w:val="left" w:pos="885"/>
        </w:tabs>
        <w:ind w:firstLine="0"/>
        <w:rPr>
          <w:b/>
        </w:rPr>
      </w:pPr>
      <w:r>
        <w:rPr>
          <w:bCs/>
        </w:rPr>
        <w:tab/>
      </w:r>
      <w:r w:rsidR="00916FC6">
        <w:rPr>
          <w:bCs/>
        </w:rPr>
        <w:t xml:space="preserve">And here are Treasury </w:t>
      </w:r>
      <w:r w:rsidR="003B2E88">
        <w:rPr>
          <w:bCs/>
        </w:rPr>
        <w:t>yields before</w:t>
      </w:r>
      <w:r w:rsidR="00916FC6">
        <w:rPr>
          <w:bCs/>
        </w:rPr>
        <w:t xml:space="preserve"> inflation or </w:t>
      </w:r>
      <w:r w:rsidR="00A43BAF">
        <w:rPr>
          <w:bCs/>
        </w:rPr>
        <w:t xml:space="preserve">nominal </w:t>
      </w:r>
      <w:r w:rsidR="00916FC6">
        <w:rPr>
          <w:bCs/>
        </w:rPr>
        <w:t xml:space="preserve">and after inflation, or real yields. </w:t>
      </w:r>
    </w:p>
    <w:p w14:paraId="7B7A95EF" w14:textId="77777777" w:rsidR="00160F6E" w:rsidRDefault="00160F6E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5AF5925B" w14:textId="642F308B" w:rsidR="00160F6E" w:rsidRDefault="00160F6E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tbl>
      <w:tblPr>
        <w:tblStyle w:val="TableGrid"/>
        <w:tblW w:w="0" w:type="auto"/>
        <w:tblInd w:w="1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696"/>
        <w:gridCol w:w="2276"/>
      </w:tblGrid>
      <w:tr w:rsidR="006E479C" w14:paraId="36E4C682" w14:textId="77777777" w:rsidTr="00BE04DC">
        <w:tc>
          <w:tcPr>
            <w:tcW w:w="1810" w:type="dxa"/>
          </w:tcPr>
          <w:p w14:paraId="73C689E3" w14:textId="77777777" w:rsidR="006E479C" w:rsidRDefault="006E479C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2254C9AC" w14:textId="77777777" w:rsidR="006E479C" w:rsidRPr="006E479C" w:rsidRDefault="006E479C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/>
              </w:rPr>
            </w:pPr>
            <w:r w:rsidRPr="006E479C">
              <w:rPr>
                <w:b/>
              </w:rPr>
              <w:t>Average</w:t>
            </w:r>
          </w:p>
          <w:p w14:paraId="22A4C746" w14:textId="1869DF18" w:rsidR="006E479C" w:rsidRPr="006E479C" w:rsidRDefault="006E479C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6E479C">
              <w:rPr>
                <w:b/>
              </w:rPr>
              <w:t>(1958 – 2022)</w:t>
            </w:r>
          </w:p>
        </w:tc>
        <w:tc>
          <w:tcPr>
            <w:tcW w:w="2276" w:type="dxa"/>
          </w:tcPr>
          <w:p w14:paraId="267D7B02" w14:textId="5A23BD9C" w:rsidR="006E479C" w:rsidRDefault="006E479C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December 31, 2022</w:t>
            </w:r>
          </w:p>
        </w:tc>
      </w:tr>
      <w:tr w:rsidR="006E479C" w14:paraId="616AF385" w14:textId="77777777" w:rsidTr="00BE04DC">
        <w:tc>
          <w:tcPr>
            <w:tcW w:w="1810" w:type="dxa"/>
          </w:tcPr>
          <w:p w14:paraId="01A02759" w14:textId="096EFECD" w:rsidR="006E479C" w:rsidRPr="00395D36" w:rsidRDefault="00395D36" w:rsidP="00395D36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 w:rsidRPr="00395D36">
              <w:rPr>
                <w:bCs/>
              </w:rPr>
              <w:t>Nominal yields</w:t>
            </w:r>
          </w:p>
        </w:tc>
        <w:tc>
          <w:tcPr>
            <w:tcW w:w="1696" w:type="dxa"/>
          </w:tcPr>
          <w:p w14:paraId="781224B2" w14:textId="08F46973" w:rsidR="006E479C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5.78%</w:t>
            </w:r>
          </w:p>
        </w:tc>
        <w:tc>
          <w:tcPr>
            <w:tcW w:w="2276" w:type="dxa"/>
          </w:tcPr>
          <w:p w14:paraId="6B16B6AD" w14:textId="58F0A10A" w:rsidR="006E479C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3.88%</w:t>
            </w:r>
          </w:p>
        </w:tc>
      </w:tr>
      <w:tr w:rsidR="006E479C" w14:paraId="3C4EB5A6" w14:textId="77777777" w:rsidTr="00BE04DC">
        <w:tc>
          <w:tcPr>
            <w:tcW w:w="1810" w:type="dxa"/>
          </w:tcPr>
          <w:p w14:paraId="5F0D2C14" w14:textId="52255F6E" w:rsidR="006E479C" w:rsidRPr="00395D36" w:rsidRDefault="00395D36" w:rsidP="00395D36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 w:rsidRPr="00395D36">
              <w:rPr>
                <w:bCs/>
              </w:rPr>
              <w:t>Real yields</w:t>
            </w:r>
          </w:p>
        </w:tc>
        <w:tc>
          <w:tcPr>
            <w:tcW w:w="1696" w:type="dxa"/>
          </w:tcPr>
          <w:p w14:paraId="1760D149" w14:textId="0E26D1FC" w:rsidR="006E479C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2.12%</w:t>
            </w:r>
          </w:p>
        </w:tc>
        <w:tc>
          <w:tcPr>
            <w:tcW w:w="2276" w:type="dxa"/>
          </w:tcPr>
          <w:p w14:paraId="7849A513" w14:textId="1C6EB618" w:rsidR="006E479C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-2.09%</w:t>
            </w:r>
          </w:p>
        </w:tc>
      </w:tr>
      <w:tr w:rsidR="00395D36" w14:paraId="63831BB8" w14:textId="77777777" w:rsidTr="00BE04DC">
        <w:tc>
          <w:tcPr>
            <w:tcW w:w="1810" w:type="dxa"/>
          </w:tcPr>
          <w:p w14:paraId="7D16A9F2" w14:textId="3F1022E0" w:rsidR="00395D36" w:rsidRPr="00395D36" w:rsidRDefault="00395D36" w:rsidP="00395D36">
            <w:pPr>
              <w:tabs>
                <w:tab w:val="left" w:pos="480"/>
                <w:tab w:val="left" w:pos="885"/>
              </w:tabs>
              <w:ind w:firstLine="0"/>
              <w:rPr>
                <w:bCs/>
              </w:rPr>
            </w:pPr>
            <w:r w:rsidRPr="00395D36">
              <w:rPr>
                <w:bCs/>
              </w:rPr>
              <w:t>Inflation</w:t>
            </w:r>
          </w:p>
        </w:tc>
        <w:tc>
          <w:tcPr>
            <w:tcW w:w="1696" w:type="dxa"/>
          </w:tcPr>
          <w:p w14:paraId="6982B255" w14:textId="698DF27B" w:rsidR="00395D36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3.66%</w:t>
            </w:r>
          </w:p>
        </w:tc>
        <w:tc>
          <w:tcPr>
            <w:tcW w:w="2276" w:type="dxa"/>
          </w:tcPr>
          <w:p w14:paraId="560045D0" w14:textId="1A61413D" w:rsidR="00395D36" w:rsidRPr="00395D36" w:rsidRDefault="00395D36" w:rsidP="00BB2B3E">
            <w:pPr>
              <w:tabs>
                <w:tab w:val="left" w:pos="480"/>
                <w:tab w:val="left" w:pos="885"/>
              </w:tabs>
              <w:ind w:firstLine="0"/>
              <w:jc w:val="center"/>
              <w:rPr>
                <w:bCs/>
              </w:rPr>
            </w:pPr>
            <w:r w:rsidRPr="00395D36">
              <w:rPr>
                <w:bCs/>
              </w:rPr>
              <w:t>5.96%</w:t>
            </w:r>
          </w:p>
        </w:tc>
      </w:tr>
    </w:tbl>
    <w:p w14:paraId="01663485" w14:textId="00EBA5A7" w:rsidR="00BD4DD5" w:rsidRPr="00395D36" w:rsidRDefault="00395D36" w:rsidP="00395D36">
      <w:pPr>
        <w:tabs>
          <w:tab w:val="left" w:pos="480"/>
          <w:tab w:val="left" w:pos="885"/>
          <w:tab w:val="left" w:pos="1635"/>
        </w:tabs>
        <w:ind w:firstLine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5D36">
        <w:rPr>
          <w:b/>
          <w:sz w:val="16"/>
          <w:szCs w:val="16"/>
        </w:rPr>
        <w:t>Source:  BLS, FactSet, Federal Reserve, J.P. Morgan Asset Management</w:t>
      </w:r>
    </w:p>
    <w:p w14:paraId="24FC4C09" w14:textId="38B48083" w:rsidR="00BD4DD5" w:rsidRDefault="00BD4DD5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7FB2F73B" w14:textId="0FC383E1" w:rsidR="00B17153" w:rsidRDefault="00B17153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5AA70283" w14:textId="54184922" w:rsidR="00B17153" w:rsidRDefault="00B17153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42BA8C9F" w14:textId="09B17F7D" w:rsidR="00B17153" w:rsidRDefault="00B17153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79749C13" w14:textId="0994718D" w:rsidR="00B17153" w:rsidRDefault="00B17153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1ED4F063" w14:textId="77777777" w:rsidR="00B17153" w:rsidRDefault="00B17153" w:rsidP="00BB2B3E">
      <w:pPr>
        <w:tabs>
          <w:tab w:val="left" w:pos="480"/>
          <w:tab w:val="left" w:pos="885"/>
        </w:tabs>
        <w:ind w:firstLine="0"/>
        <w:jc w:val="center"/>
        <w:rPr>
          <w:b/>
        </w:rPr>
      </w:pPr>
    </w:p>
    <w:p w14:paraId="0D26EF5C" w14:textId="77777777" w:rsidR="00B17153" w:rsidRDefault="00B17153" w:rsidP="00B17153">
      <w:pPr>
        <w:tabs>
          <w:tab w:val="left" w:pos="480"/>
          <w:tab w:val="left" w:pos="795"/>
        </w:tabs>
        <w:ind w:firstLine="0"/>
        <w:rPr>
          <w:bCs/>
        </w:rPr>
      </w:pPr>
      <w:r>
        <w:rPr>
          <w:bCs/>
        </w:rPr>
        <w:tab/>
      </w:r>
    </w:p>
    <w:p w14:paraId="1C0C50BE" w14:textId="517BC324" w:rsidR="00B17153" w:rsidRPr="00F15C2A" w:rsidRDefault="00B17153" w:rsidP="00B17153">
      <w:pPr>
        <w:tabs>
          <w:tab w:val="left" w:pos="480"/>
          <w:tab w:val="left" w:pos="795"/>
        </w:tabs>
        <w:ind w:firstLine="0"/>
        <w:rPr>
          <w:bCs/>
        </w:rPr>
      </w:pPr>
      <w:r>
        <w:rPr>
          <w:bCs/>
        </w:rPr>
        <w:lastRenderedPageBreak/>
        <w:tab/>
      </w:r>
      <w:r w:rsidRPr="00F15C2A">
        <w:rPr>
          <w:bCs/>
        </w:rPr>
        <w:t xml:space="preserve">Thank you for taking the time to read the newsletter and for listening in to Money Talk.   </w:t>
      </w:r>
      <w:r>
        <w:rPr>
          <w:bCs/>
        </w:rPr>
        <w:tab/>
      </w:r>
    </w:p>
    <w:p w14:paraId="71CAEA2A" w14:textId="77777777" w:rsidR="00D3518D" w:rsidRDefault="00D3518D" w:rsidP="00D3518D">
      <w:pPr>
        <w:tabs>
          <w:tab w:val="left" w:pos="1023"/>
        </w:tabs>
        <w:ind w:firstLine="0"/>
      </w:pPr>
      <w:r>
        <w:t>Warm regards,</w:t>
      </w:r>
    </w:p>
    <w:p w14:paraId="3903D332" w14:textId="77777777" w:rsidR="00C22391" w:rsidRDefault="00C22391" w:rsidP="00633F60"/>
    <w:p w14:paraId="6CA2F9B1" w14:textId="77777777" w:rsidR="004B4F3B" w:rsidRDefault="004B4F3B" w:rsidP="004B4F3B">
      <w:pPr>
        <w:ind w:firstLine="0"/>
      </w:pPr>
      <w:r w:rsidRPr="007D3DE1">
        <w:rPr>
          <w:noProof/>
          <w:lang w:bidi="ar-SA"/>
        </w:rPr>
        <w:drawing>
          <wp:inline distT="0" distB="0" distL="0" distR="0" wp14:anchorId="4B8F8202" wp14:editId="5B7B5ADF">
            <wp:extent cx="111442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1EB05" w14:textId="77777777" w:rsidR="004B4F3B" w:rsidRDefault="004B4F3B" w:rsidP="004B4F3B">
      <w:pPr>
        <w:ind w:firstLine="0"/>
      </w:pPr>
    </w:p>
    <w:p w14:paraId="38B1F210" w14:textId="77777777" w:rsidR="004B4F3B" w:rsidRDefault="004B4F3B" w:rsidP="004B4F3B">
      <w:pPr>
        <w:ind w:firstLine="0"/>
      </w:pPr>
      <w:r>
        <w:t>Carl W. Stuart</w:t>
      </w:r>
    </w:p>
    <w:p w14:paraId="1DA02216" w14:textId="77777777" w:rsidR="004B4F3B" w:rsidRDefault="004B4F3B" w:rsidP="004B4F3B">
      <w:pPr>
        <w:ind w:firstLine="0"/>
      </w:pPr>
      <w:r>
        <w:t>Financial Advisor</w:t>
      </w:r>
    </w:p>
    <w:p w14:paraId="23486A67" w14:textId="77777777" w:rsidR="004B4F3B" w:rsidRDefault="004B4F3B" w:rsidP="004B4F3B">
      <w:pPr>
        <w:ind w:firstLine="0"/>
      </w:pPr>
    </w:p>
    <w:p w14:paraId="2C26C50A" w14:textId="77777777" w:rsidR="004B4F3B" w:rsidRDefault="004B4F3B" w:rsidP="004B4F3B">
      <w:pPr>
        <w:pStyle w:val="ListParagraph"/>
        <w:numPr>
          <w:ilvl w:val="0"/>
          <w:numId w:val="1"/>
        </w:numPr>
        <w:ind w:left="0"/>
        <w:rPr>
          <w:b/>
          <w:sz w:val="22"/>
        </w:rPr>
      </w:pPr>
      <w:r w:rsidRPr="001F175C">
        <w:rPr>
          <w:b/>
          <w:sz w:val="22"/>
        </w:rPr>
        <w:t>Past performance is not indicative of future results.</w:t>
      </w:r>
    </w:p>
    <w:p w14:paraId="6661DF61" w14:textId="77777777" w:rsidR="004B4F3B" w:rsidRPr="001B273C" w:rsidRDefault="004B4F3B" w:rsidP="004B4F3B">
      <w:pPr>
        <w:pStyle w:val="ListParagraph"/>
        <w:numPr>
          <w:ilvl w:val="0"/>
          <w:numId w:val="1"/>
        </w:numPr>
        <w:ind w:left="0"/>
        <w:rPr>
          <w:b/>
          <w:sz w:val="16"/>
          <w:szCs w:val="16"/>
        </w:rPr>
      </w:pPr>
      <w:r w:rsidRPr="001B273C">
        <w:rPr>
          <w:sz w:val="16"/>
          <w:szCs w:val="16"/>
        </w:rPr>
        <w:t xml:space="preserve">The Dow Jones Industrials is an index of 30 stocks that is considered representative of the overall market. </w:t>
      </w:r>
    </w:p>
    <w:p w14:paraId="53C388C5" w14:textId="77777777" w:rsidR="004B4F3B" w:rsidRPr="001F175C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1F175C">
        <w:rPr>
          <w:sz w:val="16"/>
          <w:szCs w:val="16"/>
        </w:rPr>
        <w:t xml:space="preserve">The S&amp;P 500 is an unmanaged index of 500 widely held stocks that’s generally considered representative </w:t>
      </w:r>
    </w:p>
    <w:p w14:paraId="0F62C310" w14:textId="77777777" w:rsidR="004B4F3B" w:rsidRPr="001F175C" w:rsidRDefault="004B4F3B" w:rsidP="004B4F3B">
      <w:pPr>
        <w:ind w:firstLine="0"/>
        <w:rPr>
          <w:sz w:val="16"/>
          <w:szCs w:val="16"/>
        </w:rPr>
      </w:pPr>
      <w:r w:rsidRPr="001F175C">
        <w:rPr>
          <w:sz w:val="16"/>
          <w:szCs w:val="16"/>
        </w:rPr>
        <w:t>of the U.S. stock market.</w:t>
      </w:r>
    </w:p>
    <w:p w14:paraId="5AE1F9F4" w14:textId="77777777" w:rsidR="004B4F3B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1F175C">
        <w:rPr>
          <w:sz w:val="16"/>
          <w:szCs w:val="16"/>
        </w:rPr>
        <w:t>The NASDAQ composite is an unmanaged index of securities traded on the NASDAQ system.</w:t>
      </w:r>
    </w:p>
    <w:p w14:paraId="2A3EE7E0" w14:textId="77777777" w:rsidR="004B4F3B" w:rsidRPr="00B11BFA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B11BFA">
        <w:rPr>
          <w:sz w:val="16"/>
          <w:szCs w:val="16"/>
        </w:rPr>
        <w:t xml:space="preserve">The Russell 1000 Growth Index measures the performance of those Russell 1000 companies with higher price-to-book ratios and higher forecasted growth values. </w:t>
      </w:r>
    </w:p>
    <w:p w14:paraId="4A5234DF" w14:textId="77777777" w:rsidR="004B4F3B" w:rsidRPr="00B11BFA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B11BFA">
        <w:rPr>
          <w:sz w:val="16"/>
          <w:szCs w:val="16"/>
        </w:rPr>
        <w:t>The Russell 1000 Value Index measures the performance of those Russell 1000 companies with lower price-to-book ratios and lower forecasted growth values.</w:t>
      </w:r>
    </w:p>
    <w:p w14:paraId="4EC32734" w14:textId="77777777" w:rsidR="004B4F3B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1F175C">
        <w:rPr>
          <w:sz w:val="16"/>
          <w:szCs w:val="16"/>
        </w:rPr>
        <w:t xml:space="preserve">The Russell 2000 </w:t>
      </w:r>
      <w:r>
        <w:rPr>
          <w:sz w:val="16"/>
          <w:szCs w:val="16"/>
        </w:rPr>
        <w:t>I</w:t>
      </w:r>
      <w:r w:rsidRPr="001F175C">
        <w:rPr>
          <w:sz w:val="16"/>
          <w:szCs w:val="16"/>
        </w:rPr>
        <w:t>ndex is an unmanaged index of small cap securities which generally involve greater risks.</w:t>
      </w:r>
    </w:p>
    <w:p w14:paraId="2FC3C7B7" w14:textId="77777777" w:rsidR="004B4F3B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>
        <w:rPr>
          <w:sz w:val="16"/>
          <w:szCs w:val="16"/>
        </w:rPr>
        <w:t>The Russell 2000 Growth Index m</w:t>
      </w:r>
      <w:r w:rsidRPr="002F57E8">
        <w:rPr>
          <w:sz w:val="16"/>
          <w:szCs w:val="16"/>
        </w:rPr>
        <w:t>easures the performance of the small-cap growth segment of the U.S. equities.</w:t>
      </w:r>
    </w:p>
    <w:p w14:paraId="04D17872" w14:textId="77777777" w:rsidR="004B4F3B" w:rsidRPr="00F16E6D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>
        <w:rPr>
          <w:sz w:val="16"/>
          <w:szCs w:val="16"/>
        </w:rPr>
        <w:t>The Russell 2000 Value Index m</w:t>
      </w:r>
      <w:r w:rsidRPr="00F16E6D">
        <w:rPr>
          <w:sz w:val="16"/>
          <w:szCs w:val="16"/>
        </w:rPr>
        <w:t>easures the performance of the small-cap value segment of the U.S. equities.</w:t>
      </w:r>
    </w:p>
    <w:p w14:paraId="73067365" w14:textId="77777777" w:rsidR="004B4F3B" w:rsidRPr="00BA1D42" w:rsidRDefault="004B4F3B" w:rsidP="004B4F3B">
      <w:pPr>
        <w:numPr>
          <w:ilvl w:val="0"/>
          <w:numId w:val="2"/>
        </w:numPr>
        <w:ind w:left="0"/>
        <w:rPr>
          <w:sz w:val="16"/>
          <w:szCs w:val="16"/>
        </w:rPr>
      </w:pPr>
      <w:r w:rsidRPr="00BA1D42">
        <w:rPr>
          <w:sz w:val="16"/>
          <w:szCs w:val="16"/>
        </w:rPr>
        <w:t>The Barclays Capital U.S. Aggregate Index is an unmanaged market value weighted performance benchmark for investment-grade fixed rate debt issues, including government, corporate, asset backed, mortgage backed securities with a maturity of at least 1 year.</w:t>
      </w:r>
    </w:p>
    <w:p w14:paraId="5985DC8E" w14:textId="77777777" w:rsidR="004B4F3B" w:rsidRPr="001B273C" w:rsidRDefault="004B4F3B" w:rsidP="004B4F3B">
      <w:pPr>
        <w:numPr>
          <w:ilvl w:val="0"/>
          <w:numId w:val="2"/>
        </w:numPr>
        <w:ind w:left="-360" w:firstLine="0"/>
        <w:rPr>
          <w:sz w:val="16"/>
          <w:szCs w:val="16"/>
        </w:rPr>
      </w:pPr>
      <w:r w:rsidRPr="001B273C">
        <w:rPr>
          <w:sz w:val="16"/>
          <w:szCs w:val="16"/>
        </w:rPr>
        <w:t xml:space="preserve">All investing involves some degree of risk, investors may incur a profit or loss regardless of the strategy or strategies employed. </w:t>
      </w:r>
    </w:p>
    <w:p w14:paraId="7F6B1EF4" w14:textId="17AE8FFC" w:rsidR="004B4F3B" w:rsidRDefault="004B4F3B" w:rsidP="004B4F3B">
      <w:pPr>
        <w:ind w:firstLine="0"/>
        <w:rPr>
          <w:sz w:val="16"/>
          <w:szCs w:val="16"/>
        </w:rPr>
      </w:pPr>
      <w:r w:rsidRPr="001B273C">
        <w:rPr>
          <w:sz w:val="16"/>
          <w:szCs w:val="16"/>
        </w:rPr>
        <w:t xml:space="preserve">Investments mentioned may not be suitable for all investors. </w:t>
      </w:r>
    </w:p>
    <w:p w14:paraId="1ED66BAC" w14:textId="22ED7702" w:rsidR="000C64C4" w:rsidRDefault="000C64C4" w:rsidP="004B4F3B">
      <w:pPr>
        <w:ind w:firstLine="0"/>
        <w:rPr>
          <w:sz w:val="16"/>
          <w:szCs w:val="16"/>
        </w:rPr>
      </w:pPr>
    </w:p>
    <w:p w14:paraId="0AFB532F" w14:textId="66B2E22D" w:rsidR="000C64C4" w:rsidRDefault="000C64C4" w:rsidP="004B4F3B">
      <w:pPr>
        <w:ind w:firstLine="0"/>
        <w:rPr>
          <w:sz w:val="16"/>
          <w:szCs w:val="16"/>
        </w:rPr>
      </w:pPr>
    </w:p>
    <w:p w14:paraId="779BC9B6" w14:textId="2E964481" w:rsidR="000C64C4" w:rsidRDefault="000C64C4" w:rsidP="004B4F3B">
      <w:pPr>
        <w:ind w:firstLine="0"/>
        <w:rPr>
          <w:sz w:val="16"/>
          <w:szCs w:val="16"/>
        </w:rPr>
      </w:pPr>
    </w:p>
    <w:p w14:paraId="55CEC63B" w14:textId="78979634" w:rsidR="000C64C4" w:rsidRDefault="000C64C4" w:rsidP="004B4F3B">
      <w:pPr>
        <w:ind w:firstLine="0"/>
        <w:rPr>
          <w:sz w:val="16"/>
          <w:szCs w:val="16"/>
        </w:rPr>
      </w:pPr>
    </w:p>
    <w:p w14:paraId="6A6A41BF" w14:textId="09693C25" w:rsidR="000C64C4" w:rsidRDefault="000C64C4" w:rsidP="004B4F3B">
      <w:pPr>
        <w:ind w:firstLine="0"/>
        <w:rPr>
          <w:sz w:val="16"/>
          <w:szCs w:val="16"/>
        </w:rPr>
      </w:pPr>
    </w:p>
    <w:p w14:paraId="2534FF4E" w14:textId="7D331F16" w:rsidR="000C64C4" w:rsidRDefault="000C64C4" w:rsidP="004B4F3B">
      <w:pPr>
        <w:ind w:firstLine="0"/>
        <w:rPr>
          <w:sz w:val="16"/>
          <w:szCs w:val="16"/>
        </w:rPr>
      </w:pPr>
    </w:p>
    <w:p w14:paraId="2D3C8156" w14:textId="053A7AEA" w:rsidR="000C64C4" w:rsidRDefault="000C64C4" w:rsidP="004B4F3B">
      <w:pPr>
        <w:ind w:firstLine="0"/>
        <w:rPr>
          <w:sz w:val="16"/>
          <w:szCs w:val="16"/>
        </w:rPr>
      </w:pPr>
    </w:p>
    <w:p w14:paraId="2F8A1F1A" w14:textId="60D7F5D8" w:rsidR="000C64C4" w:rsidRDefault="000C64C4" w:rsidP="004B4F3B">
      <w:pPr>
        <w:ind w:firstLine="0"/>
        <w:rPr>
          <w:sz w:val="16"/>
          <w:szCs w:val="16"/>
        </w:rPr>
      </w:pPr>
    </w:p>
    <w:p w14:paraId="57FF51A9" w14:textId="78EC9356" w:rsidR="000C64C4" w:rsidRDefault="000C64C4" w:rsidP="004B4F3B">
      <w:pPr>
        <w:ind w:firstLine="0"/>
        <w:rPr>
          <w:sz w:val="16"/>
          <w:szCs w:val="16"/>
        </w:rPr>
      </w:pPr>
    </w:p>
    <w:p w14:paraId="26DD4D5E" w14:textId="12EDE432" w:rsidR="000C64C4" w:rsidRDefault="000C64C4" w:rsidP="004B4F3B">
      <w:pPr>
        <w:ind w:firstLine="0"/>
        <w:rPr>
          <w:sz w:val="16"/>
          <w:szCs w:val="16"/>
        </w:rPr>
      </w:pPr>
    </w:p>
    <w:p w14:paraId="4B580BDC" w14:textId="0BCBCB85" w:rsidR="000C64C4" w:rsidRDefault="000C64C4" w:rsidP="004B4F3B">
      <w:pPr>
        <w:ind w:firstLine="0"/>
        <w:rPr>
          <w:sz w:val="16"/>
          <w:szCs w:val="16"/>
        </w:rPr>
      </w:pPr>
    </w:p>
    <w:p w14:paraId="244B6391" w14:textId="7B3778A1" w:rsidR="000C64C4" w:rsidRDefault="000C64C4" w:rsidP="004B4F3B">
      <w:pPr>
        <w:ind w:firstLine="0"/>
        <w:rPr>
          <w:sz w:val="16"/>
          <w:szCs w:val="16"/>
        </w:rPr>
      </w:pPr>
    </w:p>
    <w:p w14:paraId="1A1BB938" w14:textId="349D4F38" w:rsidR="000C64C4" w:rsidRDefault="000C64C4" w:rsidP="004B4F3B">
      <w:pPr>
        <w:ind w:firstLine="0"/>
        <w:rPr>
          <w:sz w:val="16"/>
          <w:szCs w:val="16"/>
        </w:rPr>
      </w:pPr>
    </w:p>
    <w:p w14:paraId="11F4E1D3" w14:textId="7A882441" w:rsidR="000C64C4" w:rsidRDefault="000C64C4" w:rsidP="004B4F3B">
      <w:pPr>
        <w:ind w:firstLine="0"/>
        <w:rPr>
          <w:sz w:val="16"/>
          <w:szCs w:val="16"/>
        </w:rPr>
      </w:pPr>
    </w:p>
    <w:p w14:paraId="53E3D230" w14:textId="66036FF3" w:rsidR="000C64C4" w:rsidRDefault="000C64C4" w:rsidP="004B4F3B">
      <w:pPr>
        <w:ind w:firstLine="0"/>
        <w:rPr>
          <w:sz w:val="16"/>
          <w:szCs w:val="16"/>
        </w:rPr>
      </w:pPr>
    </w:p>
    <w:p w14:paraId="2CEAA86D" w14:textId="414C2DB2" w:rsidR="000C64C4" w:rsidRDefault="000C64C4" w:rsidP="004B4F3B">
      <w:pPr>
        <w:ind w:firstLine="0"/>
        <w:rPr>
          <w:sz w:val="16"/>
          <w:szCs w:val="16"/>
        </w:rPr>
      </w:pPr>
    </w:p>
    <w:p w14:paraId="2281E62C" w14:textId="6C67FE06" w:rsidR="000C64C4" w:rsidRDefault="000C64C4" w:rsidP="004B4F3B">
      <w:pPr>
        <w:ind w:firstLine="0"/>
        <w:rPr>
          <w:sz w:val="16"/>
          <w:szCs w:val="16"/>
        </w:rPr>
      </w:pPr>
    </w:p>
    <w:p w14:paraId="6C89166D" w14:textId="622E4350" w:rsidR="000C64C4" w:rsidRDefault="000C64C4" w:rsidP="004B4F3B">
      <w:pPr>
        <w:ind w:firstLine="0"/>
        <w:rPr>
          <w:sz w:val="16"/>
          <w:szCs w:val="16"/>
        </w:rPr>
      </w:pPr>
    </w:p>
    <w:p w14:paraId="23D94DAC" w14:textId="628591C1" w:rsidR="000C64C4" w:rsidRDefault="000C64C4" w:rsidP="004B4F3B">
      <w:pPr>
        <w:ind w:firstLine="0"/>
        <w:rPr>
          <w:sz w:val="16"/>
          <w:szCs w:val="16"/>
        </w:rPr>
      </w:pPr>
    </w:p>
    <w:p w14:paraId="393583E3" w14:textId="55116F15" w:rsidR="000C64C4" w:rsidRDefault="000C64C4" w:rsidP="004B4F3B">
      <w:pPr>
        <w:ind w:firstLine="0"/>
        <w:rPr>
          <w:sz w:val="16"/>
          <w:szCs w:val="16"/>
        </w:rPr>
      </w:pPr>
    </w:p>
    <w:p w14:paraId="18DF6DBF" w14:textId="4E81E831" w:rsidR="000C64C4" w:rsidRDefault="000C64C4" w:rsidP="004B4F3B">
      <w:pPr>
        <w:ind w:firstLine="0"/>
        <w:rPr>
          <w:sz w:val="16"/>
          <w:szCs w:val="16"/>
        </w:rPr>
      </w:pPr>
    </w:p>
    <w:p w14:paraId="68B5754B" w14:textId="1461A1C1" w:rsidR="000C64C4" w:rsidRDefault="000C64C4" w:rsidP="004B4F3B">
      <w:pPr>
        <w:ind w:firstLine="0"/>
        <w:rPr>
          <w:sz w:val="16"/>
          <w:szCs w:val="16"/>
        </w:rPr>
      </w:pPr>
    </w:p>
    <w:p w14:paraId="008724FC" w14:textId="5BA2900B" w:rsidR="000C64C4" w:rsidRDefault="000C64C4" w:rsidP="004B4F3B">
      <w:pPr>
        <w:ind w:firstLine="0"/>
        <w:rPr>
          <w:sz w:val="16"/>
          <w:szCs w:val="16"/>
        </w:rPr>
      </w:pPr>
    </w:p>
    <w:p w14:paraId="067CCE31" w14:textId="7CFEE4B8" w:rsidR="000C64C4" w:rsidRDefault="000C64C4" w:rsidP="004B4F3B">
      <w:pPr>
        <w:ind w:firstLine="0"/>
        <w:rPr>
          <w:sz w:val="16"/>
          <w:szCs w:val="16"/>
        </w:rPr>
      </w:pPr>
    </w:p>
    <w:p w14:paraId="59996C84" w14:textId="6DE4DF97" w:rsidR="000C64C4" w:rsidRDefault="000C64C4" w:rsidP="004B4F3B">
      <w:pPr>
        <w:ind w:firstLine="0"/>
        <w:rPr>
          <w:sz w:val="16"/>
          <w:szCs w:val="16"/>
        </w:rPr>
      </w:pPr>
    </w:p>
    <w:p w14:paraId="00628351" w14:textId="5E547DC9" w:rsidR="000C64C4" w:rsidRDefault="000C64C4" w:rsidP="004B4F3B">
      <w:pPr>
        <w:ind w:firstLine="0"/>
        <w:rPr>
          <w:sz w:val="16"/>
          <w:szCs w:val="16"/>
        </w:rPr>
      </w:pPr>
    </w:p>
    <w:p w14:paraId="6A6A6D2C" w14:textId="77777777" w:rsidR="000C64C4" w:rsidRDefault="000C64C4" w:rsidP="004B4F3B">
      <w:pPr>
        <w:ind w:firstLine="0"/>
        <w:rPr>
          <w:sz w:val="16"/>
          <w:szCs w:val="16"/>
        </w:rPr>
      </w:pPr>
    </w:p>
    <w:sectPr w:rsidR="000C64C4" w:rsidSect="005B67A1">
      <w:footerReference w:type="default" r:id="rId9"/>
      <w:pgSz w:w="12240" w:h="15840" w:code="1"/>
      <w:pgMar w:top="1440" w:right="1530" w:bottom="1440" w:left="16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18D5" w14:textId="77777777" w:rsidR="00B62BAB" w:rsidRDefault="00B62BAB">
      <w:r>
        <w:separator/>
      </w:r>
    </w:p>
  </w:endnote>
  <w:endnote w:type="continuationSeparator" w:id="0">
    <w:p w14:paraId="0C94E465" w14:textId="77777777" w:rsidR="00B62BAB" w:rsidRDefault="00B6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38FC" w14:textId="7EF997DB" w:rsidR="00C25B66" w:rsidRDefault="00C25B66">
    <w:pPr>
      <w:pStyle w:val="Footer"/>
      <w:jc w:val="center"/>
    </w:pPr>
  </w:p>
  <w:p w14:paraId="71078DA6" w14:textId="77777777" w:rsidR="00E95BF3" w:rsidRDefault="00000000" w:rsidP="001341F4">
    <w:pPr>
      <w:pStyle w:val="Footer"/>
      <w:tabs>
        <w:tab w:val="center" w:pos="4752"/>
        <w:tab w:val="left" w:pos="5028"/>
        <w:tab w:val="left" w:pos="5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843E" w14:textId="77777777" w:rsidR="00B62BAB" w:rsidRDefault="00B62BAB">
      <w:r>
        <w:separator/>
      </w:r>
    </w:p>
  </w:footnote>
  <w:footnote w:type="continuationSeparator" w:id="0">
    <w:p w14:paraId="70DF150A" w14:textId="77777777" w:rsidR="00B62BAB" w:rsidRDefault="00B6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46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91697"/>
    <w:multiLevelType w:val="hybridMultilevel"/>
    <w:tmpl w:val="AA2CE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C7586"/>
    <w:multiLevelType w:val="hybridMultilevel"/>
    <w:tmpl w:val="767CD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037A42"/>
    <w:multiLevelType w:val="hybridMultilevel"/>
    <w:tmpl w:val="1CA448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4983D01"/>
    <w:multiLevelType w:val="hybridMultilevel"/>
    <w:tmpl w:val="6C766112"/>
    <w:lvl w:ilvl="0" w:tplc="2408A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D3A8C"/>
    <w:multiLevelType w:val="hybridMultilevel"/>
    <w:tmpl w:val="5EFEAC4A"/>
    <w:lvl w:ilvl="0" w:tplc="106C6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6D515F"/>
    <w:multiLevelType w:val="hybridMultilevel"/>
    <w:tmpl w:val="507E5CEE"/>
    <w:lvl w:ilvl="0" w:tplc="A426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4726"/>
    <w:multiLevelType w:val="hybridMultilevel"/>
    <w:tmpl w:val="6298FB2A"/>
    <w:lvl w:ilvl="0" w:tplc="0756CF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3743C"/>
    <w:multiLevelType w:val="hybridMultilevel"/>
    <w:tmpl w:val="EA00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813779">
    <w:abstractNumId w:val="6"/>
  </w:num>
  <w:num w:numId="2" w16cid:durableId="20517033">
    <w:abstractNumId w:val="0"/>
  </w:num>
  <w:num w:numId="3" w16cid:durableId="32967890">
    <w:abstractNumId w:val="7"/>
  </w:num>
  <w:num w:numId="4" w16cid:durableId="1140457732">
    <w:abstractNumId w:val="2"/>
  </w:num>
  <w:num w:numId="5" w16cid:durableId="1621376359">
    <w:abstractNumId w:val="8"/>
  </w:num>
  <w:num w:numId="6" w16cid:durableId="978002310">
    <w:abstractNumId w:val="5"/>
  </w:num>
  <w:num w:numId="7" w16cid:durableId="312367713">
    <w:abstractNumId w:val="4"/>
  </w:num>
  <w:num w:numId="8" w16cid:durableId="794951749">
    <w:abstractNumId w:val="1"/>
  </w:num>
  <w:num w:numId="9" w16cid:durableId="1443038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37"/>
    <w:rsid w:val="000051E2"/>
    <w:rsid w:val="00010533"/>
    <w:rsid w:val="000200F1"/>
    <w:rsid w:val="00020A80"/>
    <w:rsid w:val="00021B02"/>
    <w:rsid w:val="0002255D"/>
    <w:rsid w:val="00022D31"/>
    <w:rsid w:val="00031A3B"/>
    <w:rsid w:val="0004017B"/>
    <w:rsid w:val="00040A71"/>
    <w:rsid w:val="000457D4"/>
    <w:rsid w:val="000459F7"/>
    <w:rsid w:val="000471B6"/>
    <w:rsid w:val="0005299D"/>
    <w:rsid w:val="000574CE"/>
    <w:rsid w:val="00063DF6"/>
    <w:rsid w:val="00067234"/>
    <w:rsid w:val="000676C7"/>
    <w:rsid w:val="0007026A"/>
    <w:rsid w:val="0007080D"/>
    <w:rsid w:val="00071EED"/>
    <w:rsid w:val="00075E2D"/>
    <w:rsid w:val="00080921"/>
    <w:rsid w:val="00087E82"/>
    <w:rsid w:val="00090A2B"/>
    <w:rsid w:val="000934FA"/>
    <w:rsid w:val="0009705E"/>
    <w:rsid w:val="000A4CF3"/>
    <w:rsid w:val="000B07A8"/>
    <w:rsid w:val="000B0EB6"/>
    <w:rsid w:val="000B10A3"/>
    <w:rsid w:val="000B59DF"/>
    <w:rsid w:val="000B6523"/>
    <w:rsid w:val="000B6F9B"/>
    <w:rsid w:val="000B71D5"/>
    <w:rsid w:val="000B7AC3"/>
    <w:rsid w:val="000C14F4"/>
    <w:rsid w:val="000C4715"/>
    <w:rsid w:val="000C64C4"/>
    <w:rsid w:val="000D2E82"/>
    <w:rsid w:val="000D2EC0"/>
    <w:rsid w:val="000E1E9C"/>
    <w:rsid w:val="000E4821"/>
    <w:rsid w:val="000F2764"/>
    <w:rsid w:val="000F5256"/>
    <w:rsid w:val="000F6D1A"/>
    <w:rsid w:val="0010172B"/>
    <w:rsid w:val="00101F54"/>
    <w:rsid w:val="00104AAB"/>
    <w:rsid w:val="001057A0"/>
    <w:rsid w:val="001108AA"/>
    <w:rsid w:val="00112703"/>
    <w:rsid w:val="00114F38"/>
    <w:rsid w:val="00116BBB"/>
    <w:rsid w:val="00116FAC"/>
    <w:rsid w:val="001179D7"/>
    <w:rsid w:val="0012365F"/>
    <w:rsid w:val="001237F9"/>
    <w:rsid w:val="00124F55"/>
    <w:rsid w:val="00133033"/>
    <w:rsid w:val="0014321D"/>
    <w:rsid w:val="00144932"/>
    <w:rsid w:val="001460DF"/>
    <w:rsid w:val="001478DE"/>
    <w:rsid w:val="0015134D"/>
    <w:rsid w:val="0015444B"/>
    <w:rsid w:val="00160F6E"/>
    <w:rsid w:val="0017146F"/>
    <w:rsid w:val="00180B2C"/>
    <w:rsid w:val="00181B46"/>
    <w:rsid w:val="00186686"/>
    <w:rsid w:val="001923C6"/>
    <w:rsid w:val="001A1217"/>
    <w:rsid w:val="001A5D01"/>
    <w:rsid w:val="001B29AF"/>
    <w:rsid w:val="001B2F0A"/>
    <w:rsid w:val="001C04A3"/>
    <w:rsid w:val="001C0C92"/>
    <w:rsid w:val="001C147B"/>
    <w:rsid w:val="001C17A3"/>
    <w:rsid w:val="001C2928"/>
    <w:rsid w:val="001C44EC"/>
    <w:rsid w:val="001D2132"/>
    <w:rsid w:val="001D2EAB"/>
    <w:rsid w:val="001D5065"/>
    <w:rsid w:val="001D652B"/>
    <w:rsid w:val="001E0DA8"/>
    <w:rsid w:val="001E4527"/>
    <w:rsid w:val="001E58FF"/>
    <w:rsid w:val="001F1AAE"/>
    <w:rsid w:val="001F2AF7"/>
    <w:rsid w:val="001F42D4"/>
    <w:rsid w:val="001F50C3"/>
    <w:rsid w:val="001F540C"/>
    <w:rsid w:val="00200B8C"/>
    <w:rsid w:val="00202E4D"/>
    <w:rsid w:val="002047B1"/>
    <w:rsid w:val="00212447"/>
    <w:rsid w:val="002133E9"/>
    <w:rsid w:val="00213D74"/>
    <w:rsid w:val="00222553"/>
    <w:rsid w:val="00226F8F"/>
    <w:rsid w:val="00227CDD"/>
    <w:rsid w:val="00231898"/>
    <w:rsid w:val="002324FA"/>
    <w:rsid w:val="00233268"/>
    <w:rsid w:val="00234EF2"/>
    <w:rsid w:val="00236C71"/>
    <w:rsid w:val="00240532"/>
    <w:rsid w:val="002447AA"/>
    <w:rsid w:val="002479ED"/>
    <w:rsid w:val="0025634C"/>
    <w:rsid w:val="00262C4C"/>
    <w:rsid w:val="0026708D"/>
    <w:rsid w:val="00275CF3"/>
    <w:rsid w:val="0027781A"/>
    <w:rsid w:val="002836FF"/>
    <w:rsid w:val="00286178"/>
    <w:rsid w:val="00293072"/>
    <w:rsid w:val="00293FF8"/>
    <w:rsid w:val="00294C14"/>
    <w:rsid w:val="002A2115"/>
    <w:rsid w:val="002A26E3"/>
    <w:rsid w:val="002A42DE"/>
    <w:rsid w:val="002B2410"/>
    <w:rsid w:val="002B30D4"/>
    <w:rsid w:val="002B41DB"/>
    <w:rsid w:val="002B42B3"/>
    <w:rsid w:val="002B4D7D"/>
    <w:rsid w:val="002B5376"/>
    <w:rsid w:val="002B62BA"/>
    <w:rsid w:val="002C0682"/>
    <w:rsid w:val="002C186B"/>
    <w:rsid w:val="002C2FAE"/>
    <w:rsid w:val="002E1F5D"/>
    <w:rsid w:val="002E49DC"/>
    <w:rsid w:val="002F206F"/>
    <w:rsid w:val="002F77A0"/>
    <w:rsid w:val="00303765"/>
    <w:rsid w:val="00303C31"/>
    <w:rsid w:val="00305503"/>
    <w:rsid w:val="0030755E"/>
    <w:rsid w:val="0030787F"/>
    <w:rsid w:val="00307BBB"/>
    <w:rsid w:val="00313815"/>
    <w:rsid w:val="00313882"/>
    <w:rsid w:val="00315787"/>
    <w:rsid w:val="00322479"/>
    <w:rsid w:val="00324CE0"/>
    <w:rsid w:val="0032651A"/>
    <w:rsid w:val="003275CD"/>
    <w:rsid w:val="00331985"/>
    <w:rsid w:val="0033235B"/>
    <w:rsid w:val="0033356B"/>
    <w:rsid w:val="00346EF9"/>
    <w:rsid w:val="00347CEF"/>
    <w:rsid w:val="0035049B"/>
    <w:rsid w:val="0035323D"/>
    <w:rsid w:val="003547F5"/>
    <w:rsid w:val="00361164"/>
    <w:rsid w:val="003626D6"/>
    <w:rsid w:val="00364AAF"/>
    <w:rsid w:val="00366D83"/>
    <w:rsid w:val="00371D3D"/>
    <w:rsid w:val="00384921"/>
    <w:rsid w:val="003853A1"/>
    <w:rsid w:val="00385CF6"/>
    <w:rsid w:val="003863C6"/>
    <w:rsid w:val="00387548"/>
    <w:rsid w:val="00395D36"/>
    <w:rsid w:val="00395F86"/>
    <w:rsid w:val="003960FB"/>
    <w:rsid w:val="003A43BD"/>
    <w:rsid w:val="003B0F97"/>
    <w:rsid w:val="003B2E88"/>
    <w:rsid w:val="003B2F86"/>
    <w:rsid w:val="003B4896"/>
    <w:rsid w:val="003B4FDB"/>
    <w:rsid w:val="003B6ACD"/>
    <w:rsid w:val="003C1DE8"/>
    <w:rsid w:val="003C3548"/>
    <w:rsid w:val="003C6704"/>
    <w:rsid w:val="003D1EAC"/>
    <w:rsid w:val="003D2554"/>
    <w:rsid w:val="003D2B8B"/>
    <w:rsid w:val="003D3DFF"/>
    <w:rsid w:val="003E1CFE"/>
    <w:rsid w:val="003F02F6"/>
    <w:rsid w:val="003F08C8"/>
    <w:rsid w:val="003F2BE1"/>
    <w:rsid w:val="00400BAA"/>
    <w:rsid w:val="00403E19"/>
    <w:rsid w:val="00407A6B"/>
    <w:rsid w:val="00411B37"/>
    <w:rsid w:val="004179C2"/>
    <w:rsid w:val="004230F0"/>
    <w:rsid w:val="004232E0"/>
    <w:rsid w:val="00426370"/>
    <w:rsid w:val="00430E92"/>
    <w:rsid w:val="004313FE"/>
    <w:rsid w:val="00436328"/>
    <w:rsid w:val="00441887"/>
    <w:rsid w:val="00441D14"/>
    <w:rsid w:val="004506C7"/>
    <w:rsid w:val="00455CEF"/>
    <w:rsid w:val="00463CD1"/>
    <w:rsid w:val="00465F64"/>
    <w:rsid w:val="004710BD"/>
    <w:rsid w:val="00472E54"/>
    <w:rsid w:val="00476260"/>
    <w:rsid w:val="00477420"/>
    <w:rsid w:val="00481DE6"/>
    <w:rsid w:val="004822EB"/>
    <w:rsid w:val="0048411A"/>
    <w:rsid w:val="00485CFE"/>
    <w:rsid w:val="004905E3"/>
    <w:rsid w:val="004955AF"/>
    <w:rsid w:val="004973AD"/>
    <w:rsid w:val="004A15D0"/>
    <w:rsid w:val="004A2161"/>
    <w:rsid w:val="004A7E02"/>
    <w:rsid w:val="004B4F3B"/>
    <w:rsid w:val="004B661F"/>
    <w:rsid w:val="004C1066"/>
    <w:rsid w:val="004C6212"/>
    <w:rsid w:val="004D19B0"/>
    <w:rsid w:val="004D3F3B"/>
    <w:rsid w:val="004E49AB"/>
    <w:rsid w:val="004E5E0A"/>
    <w:rsid w:val="004E6B47"/>
    <w:rsid w:val="004F2B97"/>
    <w:rsid w:val="004F5FFB"/>
    <w:rsid w:val="004F64FE"/>
    <w:rsid w:val="004F72AC"/>
    <w:rsid w:val="00502584"/>
    <w:rsid w:val="00506084"/>
    <w:rsid w:val="00512647"/>
    <w:rsid w:val="00512D6C"/>
    <w:rsid w:val="005138CC"/>
    <w:rsid w:val="00514994"/>
    <w:rsid w:val="005149ED"/>
    <w:rsid w:val="00523E82"/>
    <w:rsid w:val="00525CE3"/>
    <w:rsid w:val="00525FB6"/>
    <w:rsid w:val="005267CE"/>
    <w:rsid w:val="0052782A"/>
    <w:rsid w:val="00527F9E"/>
    <w:rsid w:val="00530697"/>
    <w:rsid w:val="005306A1"/>
    <w:rsid w:val="00533ACB"/>
    <w:rsid w:val="0053510F"/>
    <w:rsid w:val="00541171"/>
    <w:rsid w:val="00544CA3"/>
    <w:rsid w:val="00553170"/>
    <w:rsid w:val="00560842"/>
    <w:rsid w:val="00561630"/>
    <w:rsid w:val="005619F4"/>
    <w:rsid w:val="00563A11"/>
    <w:rsid w:val="00566E31"/>
    <w:rsid w:val="00567565"/>
    <w:rsid w:val="00576481"/>
    <w:rsid w:val="00577948"/>
    <w:rsid w:val="005A22FE"/>
    <w:rsid w:val="005A70ED"/>
    <w:rsid w:val="005B67A1"/>
    <w:rsid w:val="005B70CF"/>
    <w:rsid w:val="005C1A0A"/>
    <w:rsid w:val="005C1ECE"/>
    <w:rsid w:val="005C3DC6"/>
    <w:rsid w:val="005C47CA"/>
    <w:rsid w:val="005D256B"/>
    <w:rsid w:val="005D25AD"/>
    <w:rsid w:val="005D4593"/>
    <w:rsid w:val="005D558B"/>
    <w:rsid w:val="005D6270"/>
    <w:rsid w:val="005D6D90"/>
    <w:rsid w:val="005D6EFD"/>
    <w:rsid w:val="005D794F"/>
    <w:rsid w:val="005E14A7"/>
    <w:rsid w:val="005E2ACE"/>
    <w:rsid w:val="005F0BD6"/>
    <w:rsid w:val="005F22DF"/>
    <w:rsid w:val="00601059"/>
    <w:rsid w:val="00603B0B"/>
    <w:rsid w:val="00614F00"/>
    <w:rsid w:val="006176E2"/>
    <w:rsid w:val="00621F11"/>
    <w:rsid w:val="00622D2A"/>
    <w:rsid w:val="006260C4"/>
    <w:rsid w:val="00626129"/>
    <w:rsid w:val="006276CA"/>
    <w:rsid w:val="00633F60"/>
    <w:rsid w:val="00636336"/>
    <w:rsid w:val="00641195"/>
    <w:rsid w:val="00641DBB"/>
    <w:rsid w:val="00644657"/>
    <w:rsid w:val="006451C6"/>
    <w:rsid w:val="006660B0"/>
    <w:rsid w:val="00670830"/>
    <w:rsid w:val="00670BF1"/>
    <w:rsid w:val="006738E5"/>
    <w:rsid w:val="00674487"/>
    <w:rsid w:val="00675B89"/>
    <w:rsid w:val="00675E59"/>
    <w:rsid w:val="00695387"/>
    <w:rsid w:val="0069578E"/>
    <w:rsid w:val="006A07EF"/>
    <w:rsid w:val="006A42CA"/>
    <w:rsid w:val="006A4AD6"/>
    <w:rsid w:val="006A5C52"/>
    <w:rsid w:val="006A6253"/>
    <w:rsid w:val="006B0F10"/>
    <w:rsid w:val="006B1328"/>
    <w:rsid w:val="006B3656"/>
    <w:rsid w:val="006B67C6"/>
    <w:rsid w:val="006C3DEE"/>
    <w:rsid w:val="006D7078"/>
    <w:rsid w:val="006E1E8A"/>
    <w:rsid w:val="006E326D"/>
    <w:rsid w:val="006E479C"/>
    <w:rsid w:val="006E53B7"/>
    <w:rsid w:val="006E653E"/>
    <w:rsid w:val="006F1882"/>
    <w:rsid w:val="006F2FD4"/>
    <w:rsid w:val="006F599B"/>
    <w:rsid w:val="006F67C9"/>
    <w:rsid w:val="006F6A02"/>
    <w:rsid w:val="007001C2"/>
    <w:rsid w:val="00700808"/>
    <w:rsid w:val="007059E7"/>
    <w:rsid w:val="0070608C"/>
    <w:rsid w:val="0070646C"/>
    <w:rsid w:val="00710CD3"/>
    <w:rsid w:val="0071409E"/>
    <w:rsid w:val="007144AD"/>
    <w:rsid w:val="0072168F"/>
    <w:rsid w:val="007307AE"/>
    <w:rsid w:val="0073284B"/>
    <w:rsid w:val="00733259"/>
    <w:rsid w:val="00744E79"/>
    <w:rsid w:val="00745151"/>
    <w:rsid w:val="00745D5E"/>
    <w:rsid w:val="00753374"/>
    <w:rsid w:val="00754ACC"/>
    <w:rsid w:val="00754E6A"/>
    <w:rsid w:val="0075537E"/>
    <w:rsid w:val="00755BE8"/>
    <w:rsid w:val="00760472"/>
    <w:rsid w:val="00760884"/>
    <w:rsid w:val="00764151"/>
    <w:rsid w:val="0076717D"/>
    <w:rsid w:val="00772B74"/>
    <w:rsid w:val="00772D65"/>
    <w:rsid w:val="00775A25"/>
    <w:rsid w:val="00785E5D"/>
    <w:rsid w:val="00786A00"/>
    <w:rsid w:val="0078737D"/>
    <w:rsid w:val="007A0992"/>
    <w:rsid w:val="007A1B63"/>
    <w:rsid w:val="007A30EC"/>
    <w:rsid w:val="007B0FFA"/>
    <w:rsid w:val="007B33CE"/>
    <w:rsid w:val="007C1227"/>
    <w:rsid w:val="007C425C"/>
    <w:rsid w:val="007C4F92"/>
    <w:rsid w:val="007D4062"/>
    <w:rsid w:val="007D6316"/>
    <w:rsid w:val="007D7DDA"/>
    <w:rsid w:val="007E0BBE"/>
    <w:rsid w:val="007E0D79"/>
    <w:rsid w:val="007E286F"/>
    <w:rsid w:val="007F14C7"/>
    <w:rsid w:val="007F19BF"/>
    <w:rsid w:val="007F4B68"/>
    <w:rsid w:val="00800B0A"/>
    <w:rsid w:val="00803CED"/>
    <w:rsid w:val="00810AEA"/>
    <w:rsid w:val="008216C9"/>
    <w:rsid w:val="00825F74"/>
    <w:rsid w:val="00831E4F"/>
    <w:rsid w:val="008332EA"/>
    <w:rsid w:val="00834DAC"/>
    <w:rsid w:val="00834EF6"/>
    <w:rsid w:val="008375D3"/>
    <w:rsid w:val="00843E2A"/>
    <w:rsid w:val="008457B2"/>
    <w:rsid w:val="00846DCA"/>
    <w:rsid w:val="00851665"/>
    <w:rsid w:val="008520CC"/>
    <w:rsid w:val="00853023"/>
    <w:rsid w:val="00853371"/>
    <w:rsid w:val="00863466"/>
    <w:rsid w:val="0086626B"/>
    <w:rsid w:val="00867004"/>
    <w:rsid w:val="008748BF"/>
    <w:rsid w:val="00874A57"/>
    <w:rsid w:val="00876579"/>
    <w:rsid w:val="008924D8"/>
    <w:rsid w:val="008A22B9"/>
    <w:rsid w:val="008A40C7"/>
    <w:rsid w:val="008B2602"/>
    <w:rsid w:val="008B35D9"/>
    <w:rsid w:val="008C0C1A"/>
    <w:rsid w:val="008C2B9D"/>
    <w:rsid w:val="008C683C"/>
    <w:rsid w:val="008C7D1E"/>
    <w:rsid w:val="008D354F"/>
    <w:rsid w:val="008D49AA"/>
    <w:rsid w:val="008D6AB7"/>
    <w:rsid w:val="008D7145"/>
    <w:rsid w:val="008E18E6"/>
    <w:rsid w:val="008E639D"/>
    <w:rsid w:val="008E67B3"/>
    <w:rsid w:val="008F0EA8"/>
    <w:rsid w:val="008F1738"/>
    <w:rsid w:val="008F1CBC"/>
    <w:rsid w:val="008F528B"/>
    <w:rsid w:val="008F6FCF"/>
    <w:rsid w:val="00904615"/>
    <w:rsid w:val="0090764B"/>
    <w:rsid w:val="00912B08"/>
    <w:rsid w:val="00914044"/>
    <w:rsid w:val="00914196"/>
    <w:rsid w:val="00916CFA"/>
    <w:rsid w:val="00916FC6"/>
    <w:rsid w:val="00921F8E"/>
    <w:rsid w:val="00927844"/>
    <w:rsid w:val="009279FB"/>
    <w:rsid w:val="0093410C"/>
    <w:rsid w:val="00934515"/>
    <w:rsid w:val="009363F0"/>
    <w:rsid w:val="009420E5"/>
    <w:rsid w:val="009439F6"/>
    <w:rsid w:val="00957096"/>
    <w:rsid w:val="00963922"/>
    <w:rsid w:val="0096663F"/>
    <w:rsid w:val="009701DC"/>
    <w:rsid w:val="0097418E"/>
    <w:rsid w:val="009804ED"/>
    <w:rsid w:val="00984D75"/>
    <w:rsid w:val="00992A48"/>
    <w:rsid w:val="009A17A6"/>
    <w:rsid w:val="009A1BBB"/>
    <w:rsid w:val="009A3F49"/>
    <w:rsid w:val="009B0072"/>
    <w:rsid w:val="009B079F"/>
    <w:rsid w:val="009B1C5C"/>
    <w:rsid w:val="009B427D"/>
    <w:rsid w:val="009B6545"/>
    <w:rsid w:val="009C1714"/>
    <w:rsid w:val="009C1E81"/>
    <w:rsid w:val="009C3687"/>
    <w:rsid w:val="009D03FF"/>
    <w:rsid w:val="009D0BFC"/>
    <w:rsid w:val="009D644F"/>
    <w:rsid w:val="009E0D8D"/>
    <w:rsid w:val="009F4319"/>
    <w:rsid w:val="009F5B95"/>
    <w:rsid w:val="009F6764"/>
    <w:rsid w:val="00A02C9D"/>
    <w:rsid w:val="00A0481B"/>
    <w:rsid w:val="00A1235F"/>
    <w:rsid w:val="00A16369"/>
    <w:rsid w:val="00A25B35"/>
    <w:rsid w:val="00A31DF0"/>
    <w:rsid w:val="00A324D7"/>
    <w:rsid w:val="00A32C20"/>
    <w:rsid w:val="00A355CC"/>
    <w:rsid w:val="00A416F9"/>
    <w:rsid w:val="00A43BAF"/>
    <w:rsid w:val="00A45A87"/>
    <w:rsid w:val="00A4633F"/>
    <w:rsid w:val="00A521D6"/>
    <w:rsid w:val="00A5350C"/>
    <w:rsid w:val="00A54C8F"/>
    <w:rsid w:val="00A56D8C"/>
    <w:rsid w:val="00A63B46"/>
    <w:rsid w:val="00A7020B"/>
    <w:rsid w:val="00A74811"/>
    <w:rsid w:val="00A80946"/>
    <w:rsid w:val="00A82385"/>
    <w:rsid w:val="00A83615"/>
    <w:rsid w:val="00A8376E"/>
    <w:rsid w:val="00A83EC1"/>
    <w:rsid w:val="00A84E28"/>
    <w:rsid w:val="00A94145"/>
    <w:rsid w:val="00AB3E92"/>
    <w:rsid w:val="00AB55B8"/>
    <w:rsid w:val="00AB7169"/>
    <w:rsid w:val="00AB7B3E"/>
    <w:rsid w:val="00AC0C29"/>
    <w:rsid w:val="00AC390C"/>
    <w:rsid w:val="00AD3C06"/>
    <w:rsid w:val="00AD71B5"/>
    <w:rsid w:val="00AD78E2"/>
    <w:rsid w:val="00AE4B70"/>
    <w:rsid w:val="00AF3032"/>
    <w:rsid w:val="00AF392F"/>
    <w:rsid w:val="00AF4A6A"/>
    <w:rsid w:val="00AF70B4"/>
    <w:rsid w:val="00AF7B99"/>
    <w:rsid w:val="00B01C90"/>
    <w:rsid w:val="00B06A2B"/>
    <w:rsid w:val="00B06DFD"/>
    <w:rsid w:val="00B115AC"/>
    <w:rsid w:val="00B16542"/>
    <w:rsid w:val="00B16632"/>
    <w:rsid w:val="00B17153"/>
    <w:rsid w:val="00B357D9"/>
    <w:rsid w:val="00B36027"/>
    <w:rsid w:val="00B37615"/>
    <w:rsid w:val="00B41E83"/>
    <w:rsid w:val="00B439F1"/>
    <w:rsid w:val="00B455AB"/>
    <w:rsid w:val="00B50F06"/>
    <w:rsid w:val="00B51F02"/>
    <w:rsid w:val="00B55B11"/>
    <w:rsid w:val="00B572D4"/>
    <w:rsid w:val="00B6274D"/>
    <w:rsid w:val="00B62BAB"/>
    <w:rsid w:val="00B736C1"/>
    <w:rsid w:val="00B83DDA"/>
    <w:rsid w:val="00B8447F"/>
    <w:rsid w:val="00B845D1"/>
    <w:rsid w:val="00B84708"/>
    <w:rsid w:val="00B84F12"/>
    <w:rsid w:val="00B92625"/>
    <w:rsid w:val="00B9317E"/>
    <w:rsid w:val="00BA3688"/>
    <w:rsid w:val="00BB2B3E"/>
    <w:rsid w:val="00BB3C89"/>
    <w:rsid w:val="00BB4D0C"/>
    <w:rsid w:val="00BB5190"/>
    <w:rsid w:val="00BC3964"/>
    <w:rsid w:val="00BC614F"/>
    <w:rsid w:val="00BD0330"/>
    <w:rsid w:val="00BD4DD5"/>
    <w:rsid w:val="00BD53DE"/>
    <w:rsid w:val="00BE04DC"/>
    <w:rsid w:val="00BE198C"/>
    <w:rsid w:val="00BE493F"/>
    <w:rsid w:val="00BF2CA9"/>
    <w:rsid w:val="00BF3F24"/>
    <w:rsid w:val="00BF4D74"/>
    <w:rsid w:val="00BF5D75"/>
    <w:rsid w:val="00C10683"/>
    <w:rsid w:val="00C10FC9"/>
    <w:rsid w:val="00C11E6C"/>
    <w:rsid w:val="00C12A20"/>
    <w:rsid w:val="00C20D3B"/>
    <w:rsid w:val="00C22391"/>
    <w:rsid w:val="00C2431B"/>
    <w:rsid w:val="00C25B66"/>
    <w:rsid w:val="00C36567"/>
    <w:rsid w:val="00C36FE1"/>
    <w:rsid w:val="00C40263"/>
    <w:rsid w:val="00C41C8D"/>
    <w:rsid w:val="00C42890"/>
    <w:rsid w:val="00C44592"/>
    <w:rsid w:val="00C52D75"/>
    <w:rsid w:val="00C5486C"/>
    <w:rsid w:val="00C62FFE"/>
    <w:rsid w:val="00C724DA"/>
    <w:rsid w:val="00C72A4F"/>
    <w:rsid w:val="00C76635"/>
    <w:rsid w:val="00C76906"/>
    <w:rsid w:val="00C76E4C"/>
    <w:rsid w:val="00C8035C"/>
    <w:rsid w:val="00C86EA0"/>
    <w:rsid w:val="00C969C5"/>
    <w:rsid w:val="00CA05B2"/>
    <w:rsid w:val="00CA4831"/>
    <w:rsid w:val="00CA5ADB"/>
    <w:rsid w:val="00CB1488"/>
    <w:rsid w:val="00CB267F"/>
    <w:rsid w:val="00CB35D8"/>
    <w:rsid w:val="00CB3B14"/>
    <w:rsid w:val="00CB7449"/>
    <w:rsid w:val="00CC2423"/>
    <w:rsid w:val="00CC4485"/>
    <w:rsid w:val="00CC64FD"/>
    <w:rsid w:val="00CC66EF"/>
    <w:rsid w:val="00CC6727"/>
    <w:rsid w:val="00CC673F"/>
    <w:rsid w:val="00CD29A0"/>
    <w:rsid w:val="00CD5BD2"/>
    <w:rsid w:val="00CD6442"/>
    <w:rsid w:val="00CE034F"/>
    <w:rsid w:val="00CE4DCA"/>
    <w:rsid w:val="00CE52D4"/>
    <w:rsid w:val="00CF29A6"/>
    <w:rsid w:val="00CF349C"/>
    <w:rsid w:val="00D010C6"/>
    <w:rsid w:val="00D05FC2"/>
    <w:rsid w:val="00D07770"/>
    <w:rsid w:val="00D1093A"/>
    <w:rsid w:val="00D141A9"/>
    <w:rsid w:val="00D22F85"/>
    <w:rsid w:val="00D23BDA"/>
    <w:rsid w:val="00D314F5"/>
    <w:rsid w:val="00D320EA"/>
    <w:rsid w:val="00D32D8B"/>
    <w:rsid w:val="00D33FA7"/>
    <w:rsid w:val="00D3518D"/>
    <w:rsid w:val="00D40605"/>
    <w:rsid w:val="00D407FF"/>
    <w:rsid w:val="00D443BA"/>
    <w:rsid w:val="00D463FA"/>
    <w:rsid w:val="00D50939"/>
    <w:rsid w:val="00D52DE2"/>
    <w:rsid w:val="00D64959"/>
    <w:rsid w:val="00D64A4A"/>
    <w:rsid w:val="00D657D5"/>
    <w:rsid w:val="00D7103A"/>
    <w:rsid w:val="00D72522"/>
    <w:rsid w:val="00D73815"/>
    <w:rsid w:val="00D77547"/>
    <w:rsid w:val="00D7768E"/>
    <w:rsid w:val="00D82E55"/>
    <w:rsid w:val="00D938A1"/>
    <w:rsid w:val="00D93CCE"/>
    <w:rsid w:val="00D949D9"/>
    <w:rsid w:val="00D97368"/>
    <w:rsid w:val="00DA1230"/>
    <w:rsid w:val="00DA3F27"/>
    <w:rsid w:val="00DA41D8"/>
    <w:rsid w:val="00DA55B9"/>
    <w:rsid w:val="00DA59B9"/>
    <w:rsid w:val="00DA69D9"/>
    <w:rsid w:val="00DB1F70"/>
    <w:rsid w:val="00DB69C2"/>
    <w:rsid w:val="00DB6BC1"/>
    <w:rsid w:val="00DC0346"/>
    <w:rsid w:val="00DC6015"/>
    <w:rsid w:val="00DC6250"/>
    <w:rsid w:val="00DC74C6"/>
    <w:rsid w:val="00DC7C78"/>
    <w:rsid w:val="00DD2D7A"/>
    <w:rsid w:val="00DD5A19"/>
    <w:rsid w:val="00DE65D8"/>
    <w:rsid w:val="00DF1548"/>
    <w:rsid w:val="00DF1822"/>
    <w:rsid w:val="00DF25A1"/>
    <w:rsid w:val="00DF3110"/>
    <w:rsid w:val="00DF402D"/>
    <w:rsid w:val="00DF5117"/>
    <w:rsid w:val="00DF6465"/>
    <w:rsid w:val="00E0209E"/>
    <w:rsid w:val="00E10040"/>
    <w:rsid w:val="00E12ABA"/>
    <w:rsid w:val="00E154DA"/>
    <w:rsid w:val="00E16DB5"/>
    <w:rsid w:val="00E304CC"/>
    <w:rsid w:val="00E3736D"/>
    <w:rsid w:val="00E510B6"/>
    <w:rsid w:val="00E51324"/>
    <w:rsid w:val="00E54749"/>
    <w:rsid w:val="00E566A5"/>
    <w:rsid w:val="00E6236D"/>
    <w:rsid w:val="00E65230"/>
    <w:rsid w:val="00E71814"/>
    <w:rsid w:val="00E8135D"/>
    <w:rsid w:val="00E851E9"/>
    <w:rsid w:val="00EA09FF"/>
    <w:rsid w:val="00EA2EC5"/>
    <w:rsid w:val="00EA4DEE"/>
    <w:rsid w:val="00EA5F32"/>
    <w:rsid w:val="00EB2F28"/>
    <w:rsid w:val="00EB3460"/>
    <w:rsid w:val="00EB69E5"/>
    <w:rsid w:val="00EC0866"/>
    <w:rsid w:val="00EC38E7"/>
    <w:rsid w:val="00EC482E"/>
    <w:rsid w:val="00ED1B60"/>
    <w:rsid w:val="00ED1E49"/>
    <w:rsid w:val="00ED4E19"/>
    <w:rsid w:val="00ED79FC"/>
    <w:rsid w:val="00EE17C1"/>
    <w:rsid w:val="00EE4303"/>
    <w:rsid w:val="00EE75F7"/>
    <w:rsid w:val="00EE7744"/>
    <w:rsid w:val="00EF03C6"/>
    <w:rsid w:val="00EF2C52"/>
    <w:rsid w:val="00EF2F4B"/>
    <w:rsid w:val="00F00673"/>
    <w:rsid w:val="00F035B1"/>
    <w:rsid w:val="00F07A96"/>
    <w:rsid w:val="00F10995"/>
    <w:rsid w:val="00F115EC"/>
    <w:rsid w:val="00F11B23"/>
    <w:rsid w:val="00F11C70"/>
    <w:rsid w:val="00F12018"/>
    <w:rsid w:val="00F13FCC"/>
    <w:rsid w:val="00F14B32"/>
    <w:rsid w:val="00F16412"/>
    <w:rsid w:val="00F16BC3"/>
    <w:rsid w:val="00F20295"/>
    <w:rsid w:val="00F21B1E"/>
    <w:rsid w:val="00F24ACF"/>
    <w:rsid w:val="00F34C29"/>
    <w:rsid w:val="00F36783"/>
    <w:rsid w:val="00F44C93"/>
    <w:rsid w:val="00F4701C"/>
    <w:rsid w:val="00F56311"/>
    <w:rsid w:val="00F6010D"/>
    <w:rsid w:val="00F6140A"/>
    <w:rsid w:val="00F61917"/>
    <w:rsid w:val="00F66BFD"/>
    <w:rsid w:val="00F72755"/>
    <w:rsid w:val="00F7651B"/>
    <w:rsid w:val="00F77CD6"/>
    <w:rsid w:val="00F80E49"/>
    <w:rsid w:val="00F8315E"/>
    <w:rsid w:val="00F84599"/>
    <w:rsid w:val="00F8544F"/>
    <w:rsid w:val="00F859B2"/>
    <w:rsid w:val="00F91F38"/>
    <w:rsid w:val="00F93F38"/>
    <w:rsid w:val="00F94F0E"/>
    <w:rsid w:val="00FA0756"/>
    <w:rsid w:val="00FA3630"/>
    <w:rsid w:val="00FA49B6"/>
    <w:rsid w:val="00FA6FDD"/>
    <w:rsid w:val="00FA72F1"/>
    <w:rsid w:val="00FB045F"/>
    <w:rsid w:val="00FB0D1E"/>
    <w:rsid w:val="00FB5520"/>
    <w:rsid w:val="00FB5752"/>
    <w:rsid w:val="00FC071E"/>
    <w:rsid w:val="00FE04D9"/>
    <w:rsid w:val="00FE1657"/>
    <w:rsid w:val="00FE1924"/>
    <w:rsid w:val="00FE262F"/>
    <w:rsid w:val="00FE2EFF"/>
    <w:rsid w:val="00FE3D73"/>
    <w:rsid w:val="00FE41AB"/>
    <w:rsid w:val="00FE5140"/>
    <w:rsid w:val="00FF107A"/>
    <w:rsid w:val="00FF28C0"/>
    <w:rsid w:val="00FF28C3"/>
    <w:rsid w:val="00FF34FF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9B99"/>
  <w15:chartTrackingRefBased/>
  <w15:docId w15:val="{C159E7F1-21AE-41CB-9101-369C31B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37"/>
    <w:pPr>
      <w:spacing w:after="0" w:line="240" w:lineRule="auto"/>
      <w:ind w:firstLine="720"/>
    </w:pPr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140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D652B"/>
    <w:rPr>
      <w:rFonts w:eastAsiaTheme="majorEastAsia"/>
      <w:sz w:val="20"/>
    </w:rPr>
  </w:style>
  <w:style w:type="paragraph" w:styleId="NoSpacing">
    <w:name w:val="No Spacing"/>
    <w:uiPriority w:val="1"/>
    <w:qFormat/>
    <w:rsid w:val="002A42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B37"/>
    <w:pPr>
      <w:ind w:left="720"/>
      <w:contextualSpacing/>
    </w:pPr>
  </w:style>
  <w:style w:type="table" w:styleId="TableGrid">
    <w:name w:val="Table Grid"/>
    <w:basedOn w:val="TableNormal"/>
    <w:uiPriority w:val="59"/>
    <w:rsid w:val="00411B37"/>
    <w:pPr>
      <w:spacing w:after="0" w:line="240" w:lineRule="auto"/>
      <w:ind w:firstLine="720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37"/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D8"/>
    <w:rPr>
      <w:rFonts w:cs="Times New Roman"/>
      <w:lang w:bidi="en-US"/>
    </w:rPr>
  </w:style>
  <w:style w:type="character" w:customStyle="1" w:styleId="DefaultFontHxMailStyle">
    <w:name w:val="Default Font HxMail Style"/>
    <w:basedOn w:val="DefaultParagraphFont"/>
    <w:rsid w:val="00C36FE1"/>
    <w:rPr>
      <w:rFonts w:ascii="Lora" w:hAnsi="Lor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71D3D"/>
    <w:pPr>
      <w:spacing w:before="100" w:beforeAutospacing="1" w:after="100" w:afterAutospacing="1"/>
      <w:ind w:firstLine="0"/>
    </w:pPr>
    <w:rPr>
      <w:rFonts w:ascii="Calibri" w:hAnsi="Calibri" w:cs="Calibri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16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412"/>
    <w:rPr>
      <w:rFonts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12"/>
    <w:rPr>
      <w:rFonts w:cs="Times New Roman"/>
      <w:b/>
      <w:bCs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16DB5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apple-converted-space">
    <w:name w:val="gmail-apple-converted-space"/>
    <w:basedOn w:val="DefaultParagraphFont"/>
    <w:rsid w:val="00E5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49B8-2F9D-407E-A1B6-BA7F085A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Heard</dc:creator>
  <cp:keywords/>
  <dc:description/>
  <cp:lastModifiedBy>Linda Heard</cp:lastModifiedBy>
  <cp:revision>3</cp:revision>
  <cp:lastPrinted>2023-01-24T19:25:00Z</cp:lastPrinted>
  <dcterms:created xsi:type="dcterms:W3CDTF">2023-01-24T21:35:00Z</dcterms:created>
  <dcterms:modified xsi:type="dcterms:W3CDTF">2023-01-24T21:38:00Z</dcterms:modified>
</cp:coreProperties>
</file>