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16F7D" w14:textId="77777777" w:rsidR="00A4538E" w:rsidRDefault="00A4538E">
      <w:pPr>
        <w:tabs>
          <w:tab w:val="left" w:pos="1635"/>
          <w:tab w:val="center" w:pos="4806"/>
        </w:tabs>
        <w:spacing w:after="0" w:line="240" w:lineRule="auto"/>
        <w:ind w:firstLine="720"/>
        <w:jc w:val="center"/>
        <w:rPr>
          <w:rFonts w:ascii="Times New Roman" w:eastAsia="Times New Roman" w:hAnsi="Times New Roman" w:cs="Times New Roman"/>
          <w:b/>
        </w:rPr>
      </w:pPr>
    </w:p>
    <w:p w14:paraId="73E9AADC" w14:textId="77777777" w:rsidR="00A4538E" w:rsidRDefault="00A4538E">
      <w:pPr>
        <w:tabs>
          <w:tab w:val="left" w:pos="1635"/>
          <w:tab w:val="center" w:pos="4806"/>
        </w:tabs>
        <w:spacing w:after="0" w:line="240" w:lineRule="auto"/>
        <w:ind w:firstLine="720"/>
        <w:jc w:val="center"/>
        <w:rPr>
          <w:rFonts w:ascii="Times New Roman" w:eastAsia="Times New Roman" w:hAnsi="Times New Roman" w:cs="Times New Roman"/>
          <w:b/>
        </w:rPr>
      </w:pPr>
    </w:p>
    <w:p w14:paraId="270640F6" w14:textId="77777777" w:rsidR="00A4538E" w:rsidRDefault="00A4538E">
      <w:pPr>
        <w:tabs>
          <w:tab w:val="left" w:pos="1635"/>
          <w:tab w:val="center" w:pos="4806"/>
        </w:tabs>
        <w:spacing w:after="0" w:line="240" w:lineRule="auto"/>
        <w:ind w:firstLine="720"/>
        <w:jc w:val="center"/>
        <w:rPr>
          <w:rFonts w:ascii="Times New Roman" w:eastAsia="Times New Roman" w:hAnsi="Times New Roman" w:cs="Times New Roman"/>
          <w:b/>
        </w:rPr>
      </w:pPr>
    </w:p>
    <w:p w14:paraId="5D31AC8A" w14:textId="77777777" w:rsidR="00A4538E" w:rsidRDefault="00A4538E">
      <w:pPr>
        <w:tabs>
          <w:tab w:val="left" w:pos="1635"/>
          <w:tab w:val="center" w:pos="4806"/>
        </w:tabs>
        <w:spacing w:after="0" w:line="240" w:lineRule="auto"/>
        <w:ind w:firstLine="720"/>
        <w:jc w:val="center"/>
        <w:rPr>
          <w:rFonts w:ascii="Times New Roman" w:eastAsia="Times New Roman" w:hAnsi="Times New Roman" w:cs="Times New Roman"/>
          <w:b/>
        </w:rPr>
      </w:pPr>
    </w:p>
    <w:p w14:paraId="1D2110BA" w14:textId="77777777" w:rsidR="00A4538E" w:rsidRDefault="00A4538E">
      <w:pPr>
        <w:tabs>
          <w:tab w:val="left" w:pos="1635"/>
          <w:tab w:val="center" w:pos="4806"/>
        </w:tabs>
        <w:spacing w:after="0" w:line="240" w:lineRule="auto"/>
        <w:ind w:firstLine="720"/>
        <w:jc w:val="center"/>
        <w:rPr>
          <w:rFonts w:ascii="Times New Roman" w:eastAsia="Times New Roman" w:hAnsi="Times New Roman" w:cs="Times New Roman"/>
          <w:b/>
        </w:rPr>
      </w:pPr>
    </w:p>
    <w:p w14:paraId="03BF8EE2" w14:textId="77777777" w:rsidR="00A4538E" w:rsidRPr="00A4538E" w:rsidRDefault="00A4538E" w:rsidP="00A4538E">
      <w:pPr>
        <w:spacing w:after="0" w:line="240" w:lineRule="auto"/>
        <w:rPr>
          <w:rFonts w:ascii="Times New Roman" w:eastAsia="Calibri" w:hAnsi="Times New Roman" w:cs="Times New Roman"/>
          <w:kern w:val="0"/>
          <w14:ligatures w14:val="none"/>
        </w:rPr>
      </w:pPr>
      <w:r w:rsidRPr="00A4538E">
        <w:rPr>
          <w:rFonts w:ascii="Times New Roman" w:eastAsia="Calibri" w:hAnsi="Times New Roman" w:cs="Times New Roman"/>
          <w:kern w:val="0"/>
          <w14:ligatures w14:val="none"/>
        </w:rPr>
        <w:t>December 2024</w:t>
      </w:r>
    </w:p>
    <w:p w14:paraId="66D9149E" w14:textId="77777777" w:rsidR="00A4538E" w:rsidRPr="00A4538E" w:rsidRDefault="00A4538E" w:rsidP="00A4538E">
      <w:pPr>
        <w:spacing w:after="0" w:line="240" w:lineRule="auto"/>
        <w:rPr>
          <w:rFonts w:ascii="Times New Roman" w:eastAsia="Calibri" w:hAnsi="Times New Roman" w:cs="Times New Roman"/>
          <w:kern w:val="0"/>
          <w14:ligatures w14:val="none"/>
        </w:rPr>
      </w:pPr>
    </w:p>
    <w:p w14:paraId="7AFE29B0" w14:textId="77777777" w:rsidR="00A4538E" w:rsidRPr="00A4538E" w:rsidRDefault="00A4538E" w:rsidP="00A4538E">
      <w:pPr>
        <w:spacing w:after="0" w:line="240" w:lineRule="auto"/>
        <w:rPr>
          <w:rFonts w:ascii="Times New Roman" w:eastAsia="Calibri" w:hAnsi="Times New Roman" w:cs="Times New Roman"/>
          <w:kern w:val="0"/>
          <w14:ligatures w14:val="none"/>
        </w:rPr>
      </w:pPr>
      <w:r w:rsidRPr="00A4538E">
        <w:rPr>
          <w:rFonts w:ascii="Times New Roman" w:eastAsia="Calibri" w:hAnsi="Times New Roman" w:cs="Times New Roman"/>
          <w:kern w:val="0"/>
          <w14:ligatures w14:val="none"/>
        </w:rPr>
        <w:tab/>
      </w:r>
    </w:p>
    <w:p w14:paraId="03923EA0" w14:textId="77777777" w:rsidR="00A4538E" w:rsidRPr="00A4538E" w:rsidRDefault="00A4538E" w:rsidP="00A4538E">
      <w:pPr>
        <w:spacing w:after="0" w:line="240" w:lineRule="auto"/>
        <w:rPr>
          <w:rFonts w:ascii="Times New Roman" w:eastAsia="Calibri" w:hAnsi="Times New Roman" w:cs="Times New Roman"/>
          <w:kern w:val="0"/>
          <w14:ligatures w14:val="none"/>
        </w:rPr>
      </w:pPr>
    </w:p>
    <w:p w14:paraId="1C793301" w14:textId="77777777" w:rsidR="00A4538E" w:rsidRPr="00A4538E" w:rsidRDefault="00A4538E" w:rsidP="00A4538E">
      <w:pPr>
        <w:spacing w:after="0" w:line="240" w:lineRule="auto"/>
        <w:rPr>
          <w:rFonts w:ascii="Times New Roman" w:eastAsia="Calibri" w:hAnsi="Times New Roman" w:cs="Times New Roman"/>
          <w:kern w:val="0"/>
          <w14:ligatures w14:val="none"/>
        </w:rPr>
      </w:pPr>
    </w:p>
    <w:p w14:paraId="70A66DA6" w14:textId="77777777" w:rsidR="00A4538E" w:rsidRPr="00A4538E" w:rsidRDefault="00A4538E" w:rsidP="00A4538E">
      <w:pPr>
        <w:spacing w:after="0" w:line="240" w:lineRule="auto"/>
        <w:rPr>
          <w:rFonts w:ascii="Times New Roman" w:eastAsia="Calibri" w:hAnsi="Times New Roman" w:cs="Times New Roman"/>
          <w:kern w:val="0"/>
          <w14:ligatures w14:val="none"/>
        </w:rPr>
      </w:pPr>
      <w:r w:rsidRPr="00A4538E">
        <w:rPr>
          <w:rFonts w:ascii="Times New Roman" w:eastAsia="Calibri" w:hAnsi="Times New Roman" w:cs="Times New Roman"/>
          <w:kern w:val="0"/>
          <w14:ligatures w14:val="none"/>
        </w:rPr>
        <w:tab/>
        <w:t xml:space="preserve">Here are selected year-to-date return numbers through the end of November. </w:t>
      </w:r>
    </w:p>
    <w:p w14:paraId="3BC973AA" w14:textId="77777777" w:rsidR="00A4538E" w:rsidRPr="00A4538E" w:rsidRDefault="00A4538E" w:rsidP="00A4538E">
      <w:pPr>
        <w:spacing w:after="0" w:line="276" w:lineRule="auto"/>
        <w:contextualSpacing/>
        <w:rPr>
          <w:rFonts w:ascii="Times New Roman" w:eastAsia="Calibri" w:hAnsi="Times New Roman" w:cs="Times New Roman"/>
          <w:kern w:val="0"/>
          <w14:ligatures w14:val="none"/>
        </w:rPr>
      </w:pPr>
    </w:p>
    <w:p w14:paraId="3A670C10" w14:textId="77777777" w:rsidR="00A4538E" w:rsidRPr="00A4538E" w:rsidRDefault="00A4538E" w:rsidP="00A4538E">
      <w:pPr>
        <w:spacing w:after="0" w:line="276" w:lineRule="auto"/>
        <w:contextualSpacing/>
        <w:rPr>
          <w:rFonts w:ascii="Times New Roman" w:eastAsia="Calibri" w:hAnsi="Times New Roman" w:cs="Times New Roman"/>
          <w:kern w:val="0"/>
          <w14:ligatures w14:val="none"/>
        </w:rPr>
      </w:pPr>
      <w:r w:rsidRPr="00A4538E">
        <w:rPr>
          <w:rFonts w:ascii="Times New Roman" w:eastAsia="Calibri" w:hAnsi="Times New Roman" w:cs="Times New Roman"/>
          <w:b/>
          <w:kern w:val="0"/>
          <w14:ligatures w14:val="none"/>
        </w:rPr>
        <w:t xml:space="preserve"> </w:t>
      </w:r>
      <w:r w:rsidRPr="00A4538E">
        <w:rPr>
          <w:rFonts w:ascii="Times New Roman" w:eastAsia="Calibri" w:hAnsi="Times New Roman" w:cs="Times New Roman"/>
          <w:b/>
          <w:kern w:val="0"/>
          <w14:ligatures w14:val="none"/>
        </w:rPr>
        <w:tab/>
      </w:r>
      <w:r w:rsidRPr="00A4538E">
        <w:rPr>
          <w:rFonts w:ascii="Times New Roman" w:eastAsia="Calibri" w:hAnsi="Times New Roman" w:cs="Times New Roman"/>
          <w:b/>
          <w:kern w:val="0"/>
          <w14:ligatures w14:val="none"/>
        </w:rPr>
        <w:tab/>
        <w:t>Stock Indexes</w:t>
      </w:r>
    </w:p>
    <w:p w14:paraId="1E468A58" w14:textId="77777777" w:rsidR="00A4538E" w:rsidRPr="00A4538E" w:rsidRDefault="00A4538E" w:rsidP="00A4538E">
      <w:pPr>
        <w:spacing w:after="0" w:line="276" w:lineRule="auto"/>
        <w:rPr>
          <w:rFonts w:ascii="Times New Roman" w:eastAsia="Calibri" w:hAnsi="Times New Roman" w:cs="Times New Roman"/>
          <w:b/>
          <w:kern w:val="0"/>
          <w:sz w:val="20"/>
          <w:szCs w:val="20"/>
          <w14:ligatures w14:val="none"/>
        </w:rPr>
      </w:pPr>
      <w:r w:rsidRPr="00A4538E">
        <w:rPr>
          <w:rFonts w:ascii="Times New Roman" w:eastAsia="Calibri" w:hAnsi="Times New Roman" w:cs="Times New Roman"/>
          <w:kern w:val="0"/>
          <w14:ligatures w14:val="none"/>
        </w:rPr>
        <w:tab/>
      </w:r>
      <w:r w:rsidRPr="00A4538E">
        <w:rPr>
          <w:rFonts w:ascii="Times New Roman" w:eastAsia="Calibri" w:hAnsi="Times New Roman" w:cs="Times New Roman"/>
          <w:kern w:val="0"/>
          <w14:ligatures w14:val="none"/>
        </w:rPr>
        <w:tab/>
      </w:r>
      <w:r w:rsidRPr="00A4538E">
        <w:rPr>
          <w:rFonts w:ascii="Times New Roman" w:eastAsia="Calibri" w:hAnsi="Times New Roman" w:cs="Times New Roman"/>
          <w:kern w:val="0"/>
          <w14:ligatures w14:val="none"/>
        </w:rPr>
        <w:tab/>
      </w:r>
      <w:r w:rsidRPr="00A4538E">
        <w:rPr>
          <w:rFonts w:ascii="Times New Roman" w:eastAsia="Calibri" w:hAnsi="Times New Roman" w:cs="Times New Roman"/>
          <w:kern w:val="0"/>
          <w14:ligatures w14:val="none"/>
        </w:rPr>
        <w:tab/>
      </w:r>
      <w:r w:rsidRPr="00A4538E">
        <w:rPr>
          <w:rFonts w:ascii="Times New Roman" w:eastAsia="Calibri" w:hAnsi="Times New Roman" w:cs="Times New Roman"/>
          <w:kern w:val="0"/>
          <w14:ligatures w14:val="none"/>
        </w:rPr>
        <w:tab/>
      </w:r>
      <w:r w:rsidRPr="00A4538E">
        <w:rPr>
          <w:rFonts w:ascii="Times New Roman" w:eastAsia="Calibri" w:hAnsi="Times New Roman" w:cs="Times New Roman"/>
          <w:kern w:val="0"/>
          <w14:ligatures w14:val="none"/>
        </w:rPr>
        <w:tab/>
      </w:r>
      <w:r w:rsidRPr="00A4538E">
        <w:rPr>
          <w:rFonts w:ascii="Times New Roman" w:eastAsia="Calibri" w:hAnsi="Times New Roman" w:cs="Times New Roman"/>
          <w:kern w:val="0"/>
          <w14:ligatures w14:val="none"/>
        </w:rPr>
        <w:tab/>
      </w:r>
      <w:r w:rsidRPr="00A4538E">
        <w:rPr>
          <w:rFonts w:ascii="Times New Roman" w:eastAsia="Calibri" w:hAnsi="Times New Roman" w:cs="Times New Roman"/>
          <w:kern w:val="0"/>
          <w14:ligatures w14:val="none"/>
        </w:rPr>
        <w:tab/>
      </w:r>
      <w:r w:rsidRPr="00A4538E">
        <w:rPr>
          <w:rFonts w:ascii="Times New Roman" w:eastAsia="Calibri" w:hAnsi="Times New Roman" w:cs="Times New Roman"/>
          <w:kern w:val="0"/>
          <w:sz w:val="20"/>
          <w:szCs w:val="20"/>
          <w14:ligatures w14:val="none"/>
        </w:rPr>
        <w:t xml:space="preserve">              </w:t>
      </w:r>
      <w:r w:rsidRPr="00A4538E">
        <w:rPr>
          <w:rFonts w:ascii="Times New Roman" w:eastAsia="Calibri" w:hAnsi="Times New Roman" w:cs="Times New Roman"/>
          <w:b/>
          <w:kern w:val="0"/>
          <w:sz w:val="20"/>
          <w:szCs w:val="20"/>
          <w14:ligatures w14:val="none"/>
        </w:rPr>
        <w:t>(As of 11/30/24)*</w:t>
      </w:r>
    </w:p>
    <w:p w14:paraId="13362538" w14:textId="77777777" w:rsidR="00A4538E" w:rsidRPr="00A4538E" w:rsidRDefault="00A4538E" w:rsidP="00A4538E">
      <w:pPr>
        <w:spacing w:after="0" w:line="276" w:lineRule="auto"/>
        <w:ind w:left="720" w:firstLine="720"/>
        <w:contextualSpacing/>
        <w:rPr>
          <w:rFonts w:ascii="Times New Roman" w:eastAsia="Calibri" w:hAnsi="Times New Roman" w:cs="Times New Roman"/>
          <w:kern w:val="0"/>
          <w14:ligatures w14:val="none"/>
        </w:rPr>
      </w:pPr>
      <w:r w:rsidRPr="00A4538E">
        <w:rPr>
          <w:rFonts w:ascii="Times New Roman" w:eastAsia="Calibri" w:hAnsi="Times New Roman" w:cs="Times New Roman"/>
          <w:kern w:val="0"/>
          <w14:ligatures w14:val="none"/>
        </w:rPr>
        <w:t>Dow Jones Industrials</w:t>
      </w:r>
      <w:r w:rsidRPr="00A4538E">
        <w:rPr>
          <w:rFonts w:ascii="Times New Roman" w:eastAsia="Calibri" w:hAnsi="Times New Roman" w:cs="Times New Roman"/>
          <w:kern w:val="0"/>
          <w14:ligatures w14:val="none"/>
        </w:rPr>
        <w:tab/>
      </w:r>
      <w:r w:rsidRPr="00A4538E">
        <w:rPr>
          <w:rFonts w:ascii="Times New Roman" w:eastAsia="Calibri" w:hAnsi="Times New Roman" w:cs="Times New Roman"/>
          <w:kern w:val="0"/>
          <w14:ligatures w14:val="none"/>
        </w:rPr>
        <w:tab/>
      </w:r>
      <w:r w:rsidRPr="00A4538E">
        <w:rPr>
          <w:rFonts w:ascii="Times New Roman" w:eastAsia="Calibri" w:hAnsi="Times New Roman" w:cs="Times New Roman"/>
          <w:kern w:val="0"/>
          <w14:ligatures w14:val="none"/>
        </w:rPr>
        <w:tab/>
      </w:r>
      <w:r w:rsidRPr="00A4538E">
        <w:rPr>
          <w:rFonts w:ascii="Times New Roman" w:eastAsia="Calibri" w:hAnsi="Times New Roman" w:cs="Times New Roman"/>
          <w:kern w:val="0"/>
          <w14:ligatures w14:val="none"/>
        </w:rPr>
        <w:tab/>
      </w:r>
      <w:r w:rsidRPr="00A4538E">
        <w:rPr>
          <w:rFonts w:ascii="Times New Roman" w:eastAsia="Calibri" w:hAnsi="Times New Roman" w:cs="Times New Roman"/>
          <w:kern w:val="0"/>
          <w14:ligatures w14:val="none"/>
        </w:rPr>
        <w:tab/>
        <w:t xml:space="preserve">     19.16%</w:t>
      </w:r>
    </w:p>
    <w:p w14:paraId="1F3E8141" w14:textId="77777777" w:rsidR="00A4538E" w:rsidRPr="00A4538E" w:rsidRDefault="00A4538E" w:rsidP="00A4538E">
      <w:pPr>
        <w:spacing w:after="0" w:line="276" w:lineRule="auto"/>
        <w:ind w:left="720" w:firstLine="720"/>
        <w:contextualSpacing/>
        <w:rPr>
          <w:rFonts w:ascii="Times New Roman" w:eastAsia="Calibri" w:hAnsi="Times New Roman" w:cs="Times New Roman"/>
          <w:kern w:val="0"/>
          <w14:ligatures w14:val="none"/>
        </w:rPr>
      </w:pPr>
      <w:r w:rsidRPr="00A4538E">
        <w:rPr>
          <w:rFonts w:ascii="Times New Roman" w:eastAsia="Calibri" w:hAnsi="Times New Roman" w:cs="Times New Roman"/>
          <w:kern w:val="0"/>
          <w14:ligatures w14:val="none"/>
        </w:rPr>
        <w:t>S&amp;P 500 Index</w:t>
      </w:r>
      <w:r w:rsidRPr="00A4538E">
        <w:rPr>
          <w:rFonts w:ascii="Times New Roman" w:eastAsia="Calibri" w:hAnsi="Times New Roman" w:cs="Times New Roman"/>
          <w:kern w:val="0"/>
          <w14:ligatures w14:val="none"/>
        </w:rPr>
        <w:tab/>
      </w:r>
      <w:r w:rsidRPr="00A4538E">
        <w:rPr>
          <w:rFonts w:ascii="Times New Roman" w:eastAsia="Calibri" w:hAnsi="Times New Roman" w:cs="Times New Roman"/>
          <w:kern w:val="0"/>
          <w14:ligatures w14:val="none"/>
        </w:rPr>
        <w:tab/>
      </w:r>
      <w:r w:rsidRPr="00A4538E">
        <w:rPr>
          <w:rFonts w:ascii="Times New Roman" w:eastAsia="Calibri" w:hAnsi="Times New Roman" w:cs="Times New Roman"/>
          <w:kern w:val="0"/>
          <w14:ligatures w14:val="none"/>
        </w:rPr>
        <w:tab/>
      </w:r>
      <w:r w:rsidRPr="00A4538E">
        <w:rPr>
          <w:rFonts w:ascii="Times New Roman" w:eastAsia="Calibri" w:hAnsi="Times New Roman" w:cs="Times New Roman"/>
          <w:kern w:val="0"/>
          <w14:ligatures w14:val="none"/>
        </w:rPr>
        <w:tab/>
      </w:r>
      <w:r w:rsidRPr="00A4538E">
        <w:rPr>
          <w:rFonts w:ascii="Times New Roman" w:eastAsia="Calibri" w:hAnsi="Times New Roman" w:cs="Times New Roman"/>
          <w:kern w:val="0"/>
          <w14:ligatures w14:val="none"/>
        </w:rPr>
        <w:tab/>
        <w:t xml:space="preserve">     26.47%</w:t>
      </w:r>
    </w:p>
    <w:p w14:paraId="3BF15F06" w14:textId="77777777" w:rsidR="00A4538E" w:rsidRPr="00A4538E" w:rsidRDefault="00A4538E" w:rsidP="00A4538E">
      <w:pPr>
        <w:spacing w:after="0" w:line="276" w:lineRule="auto"/>
        <w:ind w:left="720" w:firstLine="720"/>
        <w:contextualSpacing/>
        <w:rPr>
          <w:rFonts w:ascii="Times New Roman" w:eastAsia="Calibri" w:hAnsi="Times New Roman" w:cs="Times New Roman"/>
          <w:kern w:val="0"/>
          <w14:ligatures w14:val="none"/>
        </w:rPr>
      </w:pPr>
      <w:r w:rsidRPr="00A4538E">
        <w:rPr>
          <w:rFonts w:ascii="Times New Roman" w:eastAsia="Calibri" w:hAnsi="Times New Roman" w:cs="Times New Roman"/>
          <w:kern w:val="0"/>
          <w14:ligatures w14:val="none"/>
        </w:rPr>
        <w:t>NASDAQ Composite</w:t>
      </w:r>
      <w:r w:rsidRPr="00A4538E">
        <w:rPr>
          <w:rFonts w:ascii="Times New Roman" w:eastAsia="Calibri" w:hAnsi="Times New Roman" w:cs="Times New Roman"/>
          <w:kern w:val="0"/>
          <w14:ligatures w14:val="none"/>
        </w:rPr>
        <w:tab/>
      </w:r>
      <w:r w:rsidRPr="00A4538E">
        <w:rPr>
          <w:rFonts w:ascii="Times New Roman" w:eastAsia="Calibri" w:hAnsi="Times New Roman" w:cs="Times New Roman"/>
          <w:kern w:val="0"/>
          <w14:ligatures w14:val="none"/>
        </w:rPr>
        <w:tab/>
      </w:r>
      <w:r w:rsidRPr="00A4538E">
        <w:rPr>
          <w:rFonts w:ascii="Times New Roman" w:eastAsia="Calibri" w:hAnsi="Times New Roman" w:cs="Times New Roman"/>
          <w:kern w:val="0"/>
          <w14:ligatures w14:val="none"/>
        </w:rPr>
        <w:tab/>
      </w:r>
      <w:r w:rsidRPr="00A4538E">
        <w:rPr>
          <w:rFonts w:ascii="Times New Roman" w:eastAsia="Calibri" w:hAnsi="Times New Roman" w:cs="Times New Roman"/>
          <w:kern w:val="0"/>
          <w14:ligatures w14:val="none"/>
        </w:rPr>
        <w:tab/>
      </w:r>
      <w:r w:rsidRPr="00A4538E">
        <w:rPr>
          <w:rFonts w:ascii="Times New Roman" w:eastAsia="Calibri" w:hAnsi="Times New Roman" w:cs="Times New Roman"/>
          <w:kern w:val="0"/>
          <w14:ligatures w14:val="none"/>
        </w:rPr>
        <w:tab/>
        <w:t xml:space="preserve">     28.02%</w:t>
      </w:r>
    </w:p>
    <w:p w14:paraId="35D73CCD" w14:textId="77777777" w:rsidR="00A4538E" w:rsidRPr="00A4538E" w:rsidRDefault="00A4538E" w:rsidP="00A4538E">
      <w:pPr>
        <w:tabs>
          <w:tab w:val="left" w:pos="6480"/>
        </w:tabs>
        <w:spacing w:after="0" w:line="276" w:lineRule="auto"/>
        <w:ind w:left="720" w:firstLine="720"/>
        <w:contextualSpacing/>
        <w:rPr>
          <w:rFonts w:ascii="Times New Roman" w:eastAsia="Calibri" w:hAnsi="Times New Roman" w:cs="Times New Roman"/>
          <w:kern w:val="0"/>
          <w14:ligatures w14:val="none"/>
        </w:rPr>
      </w:pPr>
      <w:r w:rsidRPr="00A4538E">
        <w:rPr>
          <w:rFonts w:ascii="Times New Roman" w:eastAsia="Calibri" w:hAnsi="Times New Roman" w:cs="Times New Roman"/>
          <w:kern w:val="0"/>
          <w14:ligatures w14:val="none"/>
        </w:rPr>
        <w:t>MSCI World ex U.S. Index</w:t>
      </w:r>
      <w:r w:rsidRPr="00A4538E">
        <w:rPr>
          <w:rFonts w:ascii="Times New Roman" w:eastAsia="Calibri" w:hAnsi="Times New Roman" w:cs="Times New Roman"/>
          <w:kern w:val="0"/>
          <w14:ligatures w14:val="none"/>
        </w:rPr>
        <w:tab/>
        <w:t xml:space="preserve">       4.93%</w:t>
      </w:r>
    </w:p>
    <w:p w14:paraId="1D44533A" w14:textId="77777777" w:rsidR="00A4538E" w:rsidRPr="00A4538E" w:rsidRDefault="00A4538E" w:rsidP="00A4538E">
      <w:pPr>
        <w:spacing w:after="0" w:line="276" w:lineRule="auto"/>
        <w:ind w:firstLine="720"/>
        <w:rPr>
          <w:rFonts w:ascii="Times New Roman" w:eastAsia="Calibri" w:hAnsi="Times New Roman" w:cs="Times New Roman"/>
          <w:kern w:val="0"/>
          <w:sz w:val="16"/>
          <w:szCs w:val="16"/>
          <w14:ligatures w14:val="none"/>
        </w:rPr>
      </w:pPr>
    </w:p>
    <w:p w14:paraId="613987DF" w14:textId="77777777" w:rsidR="00A4538E" w:rsidRPr="00A4538E" w:rsidRDefault="00A4538E" w:rsidP="00A4538E">
      <w:pPr>
        <w:spacing w:after="0" w:line="276" w:lineRule="auto"/>
        <w:ind w:firstLine="720"/>
        <w:rPr>
          <w:rFonts w:ascii="Times New Roman" w:eastAsia="Calibri" w:hAnsi="Times New Roman" w:cs="Times New Roman"/>
          <w:b/>
          <w:kern w:val="0"/>
          <w:sz w:val="20"/>
          <w:szCs w:val="20"/>
          <w14:ligatures w14:val="none"/>
        </w:rPr>
      </w:pPr>
      <w:r w:rsidRPr="00A4538E">
        <w:rPr>
          <w:rFonts w:ascii="Times New Roman" w:eastAsia="Calibri" w:hAnsi="Times New Roman" w:cs="Times New Roman"/>
          <w:kern w:val="0"/>
          <w14:ligatures w14:val="none"/>
        </w:rPr>
        <w:tab/>
      </w:r>
      <w:r w:rsidRPr="00A4538E">
        <w:rPr>
          <w:rFonts w:ascii="Times New Roman" w:eastAsia="Calibri" w:hAnsi="Times New Roman" w:cs="Times New Roman"/>
          <w:kern w:val="0"/>
          <w14:ligatures w14:val="none"/>
        </w:rPr>
        <w:tab/>
      </w:r>
      <w:r w:rsidRPr="00A4538E">
        <w:rPr>
          <w:rFonts w:ascii="Times New Roman" w:eastAsia="Calibri" w:hAnsi="Times New Roman" w:cs="Times New Roman"/>
          <w:kern w:val="0"/>
          <w14:ligatures w14:val="none"/>
        </w:rPr>
        <w:tab/>
      </w:r>
      <w:r w:rsidRPr="00A4538E">
        <w:rPr>
          <w:rFonts w:ascii="Times New Roman" w:eastAsia="Calibri" w:hAnsi="Times New Roman" w:cs="Times New Roman"/>
          <w:kern w:val="0"/>
          <w14:ligatures w14:val="none"/>
        </w:rPr>
        <w:tab/>
      </w:r>
      <w:r w:rsidRPr="00A4538E">
        <w:rPr>
          <w:rFonts w:ascii="Times New Roman" w:eastAsia="Calibri" w:hAnsi="Times New Roman" w:cs="Times New Roman"/>
          <w:kern w:val="0"/>
          <w14:ligatures w14:val="none"/>
        </w:rPr>
        <w:tab/>
      </w:r>
      <w:r w:rsidRPr="00A4538E">
        <w:rPr>
          <w:rFonts w:ascii="Times New Roman" w:eastAsia="Calibri" w:hAnsi="Times New Roman" w:cs="Times New Roman"/>
          <w:kern w:val="0"/>
          <w14:ligatures w14:val="none"/>
        </w:rPr>
        <w:tab/>
      </w:r>
      <w:r w:rsidRPr="00A4538E">
        <w:rPr>
          <w:rFonts w:ascii="Times New Roman" w:eastAsia="Calibri" w:hAnsi="Times New Roman" w:cs="Times New Roman"/>
          <w:kern w:val="0"/>
          <w:sz w:val="20"/>
          <w:szCs w:val="20"/>
          <w14:ligatures w14:val="none"/>
        </w:rPr>
        <w:t xml:space="preserve">                            (</w:t>
      </w:r>
      <w:r w:rsidRPr="00A4538E">
        <w:rPr>
          <w:rFonts w:ascii="Times New Roman" w:eastAsia="Calibri" w:hAnsi="Times New Roman" w:cs="Times New Roman"/>
          <w:b/>
          <w:kern w:val="0"/>
          <w:sz w:val="20"/>
          <w:szCs w:val="20"/>
          <w14:ligatures w14:val="none"/>
        </w:rPr>
        <w:t>As of 11/30/24)*</w:t>
      </w:r>
    </w:p>
    <w:p w14:paraId="771E71DD" w14:textId="77777777" w:rsidR="00A4538E" w:rsidRPr="00A4538E" w:rsidRDefault="00A4538E" w:rsidP="00A4538E">
      <w:pPr>
        <w:spacing w:after="0" w:line="276" w:lineRule="auto"/>
        <w:ind w:left="1440"/>
        <w:contextualSpacing/>
        <w:rPr>
          <w:rFonts w:ascii="Times New Roman" w:eastAsia="Calibri" w:hAnsi="Times New Roman" w:cs="Times New Roman"/>
          <w:kern w:val="0"/>
          <w14:ligatures w14:val="none"/>
        </w:rPr>
      </w:pPr>
      <w:r w:rsidRPr="00A4538E">
        <w:rPr>
          <w:rFonts w:ascii="Times New Roman" w:eastAsia="Calibri" w:hAnsi="Times New Roman" w:cs="Times New Roman"/>
          <w:kern w:val="0"/>
          <w14:ligatures w14:val="none"/>
        </w:rPr>
        <w:t>Russell 1000 Growth Index</w:t>
      </w:r>
      <w:r w:rsidRPr="00A4538E">
        <w:rPr>
          <w:rFonts w:ascii="Times New Roman" w:eastAsia="Calibri" w:hAnsi="Times New Roman" w:cs="Times New Roman"/>
          <w:kern w:val="0"/>
          <w14:ligatures w14:val="none"/>
        </w:rPr>
        <w:tab/>
      </w:r>
      <w:r w:rsidRPr="00A4538E">
        <w:rPr>
          <w:rFonts w:ascii="Times New Roman" w:eastAsia="Calibri" w:hAnsi="Times New Roman" w:cs="Times New Roman"/>
          <w:kern w:val="0"/>
          <w14:ligatures w14:val="none"/>
        </w:rPr>
        <w:tab/>
      </w:r>
      <w:r w:rsidRPr="00A4538E">
        <w:rPr>
          <w:rFonts w:ascii="Times New Roman" w:eastAsia="Calibri" w:hAnsi="Times New Roman" w:cs="Times New Roman"/>
          <w:kern w:val="0"/>
          <w14:ligatures w14:val="none"/>
        </w:rPr>
        <w:tab/>
      </w:r>
      <w:r w:rsidRPr="00A4538E">
        <w:rPr>
          <w:rFonts w:ascii="Times New Roman" w:eastAsia="Calibri" w:hAnsi="Times New Roman" w:cs="Times New Roman"/>
          <w:kern w:val="0"/>
          <w14:ligatures w14:val="none"/>
        </w:rPr>
        <w:tab/>
        <w:t xml:space="preserve">      32.19%</w:t>
      </w:r>
    </w:p>
    <w:p w14:paraId="66033527" w14:textId="77777777" w:rsidR="00A4538E" w:rsidRPr="00A4538E" w:rsidRDefault="00A4538E" w:rsidP="00A4538E">
      <w:pPr>
        <w:spacing w:after="0" w:line="276" w:lineRule="auto"/>
        <w:ind w:left="720" w:firstLine="720"/>
        <w:contextualSpacing/>
        <w:rPr>
          <w:rFonts w:ascii="Times New Roman" w:eastAsia="Calibri" w:hAnsi="Times New Roman" w:cs="Times New Roman"/>
          <w:kern w:val="0"/>
          <w14:ligatures w14:val="none"/>
        </w:rPr>
      </w:pPr>
      <w:r w:rsidRPr="00A4538E">
        <w:rPr>
          <w:rFonts w:ascii="Times New Roman" w:eastAsia="Calibri" w:hAnsi="Times New Roman" w:cs="Times New Roman"/>
          <w:kern w:val="0"/>
          <w14:ligatures w14:val="none"/>
        </w:rPr>
        <w:t xml:space="preserve">Russell 1000 Value Index </w:t>
      </w:r>
      <w:r w:rsidRPr="00A4538E">
        <w:rPr>
          <w:rFonts w:ascii="Times New Roman" w:eastAsia="Calibri" w:hAnsi="Times New Roman" w:cs="Times New Roman"/>
          <w:kern w:val="0"/>
          <w14:ligatures w14:val="none"/>
        </w:rPr>
        <w:tab/>
      </w:r>
      <w:r w:rsidRPr="00A4538E">
        <w:rPr>
          <w:rFonts w:ascii="Times New Roman" w:eastAsia="Calibri" w:hAnsi="Times New Roman" w:cs="Times New Roman"/>
          <w:kern w:val="0"/>
          <w14:ligatures w14:val="none"/>
        </w:rPr>
        <w:tab/>
      </w:r>
      <w:r w:rsidRPr="00A4538E">
        <w:rPr>
          <w:rFonts w:ascii="Times New Roman" w:eastAsia="Calibri" w:hAnsi="Times New Roman" w:cs="Times New Roman"/>
          <w:kern w:val="0"/>
          <w14:ligatures w14:val="none"/>
        </w:rPr>
        <w:tab/>
      </w:r>
      <w:r w:rsidRPr="00A4538E">
        <w:rPr>
          <w:rFonts w:ascii="Times New Roman" w:eastAsia="Calibri" w:hAnsi="Times New Roman" w:cs="Times New Roman"/>
          <w:kern w:val="0"/>
          <w14:ligatures w14:val="none"/>
        </w:rPr>
        <w:tab/>
        <w:t xml:space="preserve">      22.76%</w:t>
      </w:r>
    </w:p>
    <w:p w14:paraId="241AFB67" w14:textId="77777777" w:rsidR="00A4538E" w:rsidRPr="00A4538E" w:rsidRDefault="00A4538E" w:rsidP="00A4538E">
      <w:pPr>
        <w:spacing w:after="0" w:line="276" w:lineRule="auto"/>
        <w:ind w:left="720" w:firstLine="720"/>
        <w:contextualSpacing/>
        <w:rPr>
          <w:rFonts w:ascii="Times New Roman" w:eastAsia="Calibri" w:hAnsi="Times New Roman" w:cs="Times New Roman"/>
          <w:kern w:val="0"/>
          <w14:ligatures w14:val="none"/>
        </w:rPr>
      </w:pPr>
    </w:p>
    <w:p w14:paraId="3A2B56EA" w14:textId="77777777" w:rsidR="00A4538E" w:rsidRPr="00A4538E" w:rsidRDefault="00A4538E" w:rsidP="00A4538E">
      <w:pPr>
        <w:tabs>
          <w:tab w:val="left" w:pos="1471"/>
          <w:tab w:val="left" w:pos="6480"/>
        </w:tabs>
        <w:spacing w:after="0" w:line="276" w:lineRule="auto"/>
        <w:rPr>
          <w:rFonts w:ascii="Times New Roman" w:eastAsia="Calibri" w:hAnsi="Times New Roman" w:cs="Times New Roman"/>
          <w:b/>
          <w:kern w:val="0"/>
          <w:sz w:val="20"/>
          <w:szCs w:val="20"/>
          <w14:ligatures w14:val="none"/>
        </w:rPr>
      </w:pPr>
      <w:r w:rsidRPr="00A4538E">
        <w:rPr>
          <w:rFonts w:ascii="Times New Roman" w:eastAsia="Calibri" w:hAnsi="Times New Roman" w:cs="Times New Roman"/>
          <w:b/>
          <w:kern w:val="0"/>
          <w14:ligatures w14:val="none"/>
        </w:rPr>
        <w:t xml:space="preserve">                                                                                                            </w:t>
      </w:r>
      <w:r w:rsidRPr="00A4538E">
        <w:rPr>
          <w:rFonts w:ascii="Times New Roman" w:eastAsia="Calibri" w:hAnsi="Times New Roman" w:cs="Times New Roman"/>
          <w:b/>
          <w:kern w:val="0"/>
          <w:sz w:val="20"/>
          <w:szCs w:val="20"/>
          <w14:ligatures w14:val="none"/>
        </w:rPr>
        <w:t>(As of 11/30/24)*</w:t>
      </w:r>
    </w:p>
    <w:p w14:paraId="2BB22733" w14:textId="77777777" w:rsidR="00A4538E" w:rsidRPr="00A4538E" w:rsidRDefault="00A4538E" w:rsidP="00A4538E">
      <w:pPr>
        <w:spacing w:after="0" w:line="276" w:lineRule="auto"/>
        <w:ind w:left="720" w:firstLine="720"/>
        <w:contextualSpacing/>
        <w:rPr>
          <w:rFonts w:ascii="Times New Roman" w:eastAsia="Calibri" w:hAnsi="Times New Roman" w:cs="Times New Roman"/>
          <w:kern w:val="0"/>
          <w14:ligatures w14:val="none"/>
        </w:rPr>
      </w:pPr>
      <w:r w:rsidRPr="00A4538E">
        <w:rPr>
          <w:rFonts w:ascii="Times New Roman" w:eastAsia="Calibri" w:hAnsi="Times New Roman" w:cs="Times New Roman"/>
          <w:kern w:val="0"/>
          <w14:ligatures w14:val="none"/>
        </w:rPr>
        <w:t>Russell 2000 Index</w:t>
      </w:r>
      <w:r w:rsidRPr="00A4538E">
        <w:rPr>
          <w:rFonts w:ascii="Times New Roman" w:eastAsia="Calibri" w:hAnsi="Times New Roman" w:cs="Times New Roman"/>
          <w:kern w:val="0"/>
          <w14:ligatures w14:val="none"/>
        </w:rPr>
        <w:tab/>
      </w:r>
      <w:r w:rsidRPr="00A4538E">
        <w:rPr>
          <w:rFonts w:ascii="Times New Roman" w:eastAsia="Calibri" w:hAnsi="Times New Roman" w:cs="Times New Roman"/>
          <w:kern w:val="0"/>
          <w14:ligatures w14:val="none"/>
        </w:rPr>
        <w:tab/>
      </w:r>
      <w:r w:rsidRPr="00A4538E">
        <w:rPr>
          <w:rFonts w:ascii="Times New Roman" w:eastAsia="Calibri" w:hAnsi="Times New Roman" w:cs="Times New Roman"/>
          <w:kern w:val="0"/>
          <w14:ligatures w14:val="none"/>
        </w:rPr>
        <w:tab/>
      </w:r>
      <w:r w:rsidRPr="00A4538E">
        <w:rPr>
          <w:rFonts w:ascii="Times New Roman" w:eastAsia="Calibri" w:hAnsi="Times New Roman" w:cs="Times New Roman"/>
          <w:kern w:val="0"/>
          <w14:ligatures w14:val="none"/>
        </w:rPr>
        <w:tab/>
      </w:r>
      <w:r w:rsidRPr="00A4538E">
        <w:rPr>
          <w:rFonts w:ascii="Times New Roman" w:eastAsia="Calibri" w:hAnsi="Times New Roman" w:cs="Times New Roman"/>
          <w:kern w:val="0"/>
          <w14:ligatures w14:val="none"/>
        </w:rPr>
        <w:tab/>
        <w:t xml:space="preserve">        21.58%</w:t>
      </w:r>
    </w:p>
    <w:p w14:paraId="6C96A159" w14:textId="77777777" w:rsidR="00A4538E" w:rsidRPr="00A4538E" w:rsidRDefault="00A4538E" w:rsidP="00A4538E">
      <w:pPr>
        <w:spacing w:after="0" w:line="276" w:lineRule="auto"/>
        <w:ind w:left="720" w:firstLine="720"/>
        <w:contextualSpacing/>
        <w:rPr>
          <w:rFonts w:ascii="Times New Roman" w:eastAsia="Calibri" w:hAnsi="Times New Roman" w:cs="Times New Roman"/>
          <w:kern w:val="0"/>
          <w14:ligatures w14:val="none"/>
        </w:rPr>
      </w:pPr>
      <w:r w:rsidRPr="00A4538E">
        <w:rPr>
          <w:rFonts w:ascii="Times New Roman" w:eastAsia="Calibri" w:hAnsi="Times New Roman" w:cs="Times New Roman"/>
          <w:kern w:val="0"/>
          <w14:ligatures w14:val="none"/>
        </w:rPr>
        <w:t xml:space="preserve">Russell 2000 Growth Index      </w:t>
      </w:r>
      <w:r w:rsidRPr="00A4538E">
        <w:rPr>
          <w:rFonts w:ascii="Times New Roman" w:eastAsia="Calibri" w:hAnsi="Times New Roman" w:cs="Times New Roman"/>
          <w:kern w:val="0"/>
          <w14:ligatures w14:val="none"/>
        </w:rPr>
        <w:tab/>
      </w:r>
      <w:r w:rsidRPr="00A4538E">
        <w:rPr>
          <w:rFonts w:ascii="Times New Roman" w:eastAsia="Calibri" w:hAnsi="Times New Roman" w:cs="Times New Roman"/>
          <w:kern w:val="0"/>
          <w14:ligatures w14:val="none"/>
        </w:rPr>
        <w:tab/>
      </w:r>
      <w:r w:rsidRPr="00A4538E">
        <w:rPr>
          <w:rFonts w:ascii="Times New Roman" w:eastAsia="Calibri" w:hAnsi="Times New Roman" w:cs="Times New Roman"/>
          <w:kern w:val="0"/>
          <w14:ligatures w14:val="none"/>
        </w:rPr>
        <w:tab/>
        <w:t xml:space="preserve">        25.42%</w:t>
      </w:r>
    </w:p>
    <w:p w14:paraId="69B8BAA8" w14:textId="77777777" w:rsidR="00A4538E" w:rsidRPr="00A4538E" w:rsidRDefault="00A4538E" w:rsidP="00A4538E">
      <w:pPr>
        <w:spacing w:after="0" w:line="276" w:lineRule="auto"/>
        <w:ind w:left="720" w:firstLine="720"/>
        <w:contextualSpacing/>
        <w:rPr>
          <w:rFonts w:ascii="Times New Roman" w:eastAsia="Calibri" w:hAnsi="Times New Roman" w:cs="Times New Roman"/>
          <w:kern w:val="0"/>
          <w14:ligatures w14:val="none"/>
        </w:rPr>
      </w:pPr>
      <w:r w:rsidRPr="00A4538E">
        <w:rPr>
          <w:rFonts w:ascii="Times New Roman" w:eastAsia="Calibri" w:hAnsi="Times New Roman" w:cs="Times New Roman"/>
          <w:kern w:val="0"/>
          <w14:ligatures w14:val="none"/>
        </w:rPr>
        <w:t xml:space="preserve">Russell 2000 Value Index     </w:t>
      </w:r>
      <w:r w:rsidRPr="00A4538E">
        <w:rPr>
          <w:rFonts w:ascii="Times New Roman" w:eastAsia="Calibri" w:hAnsi="Times New Roman" w:cs="Times New Roman"/>
          <w:kern w:val="0"/>
          <w14:ligatures w14:val="none"/>
        </w:rPr>
        <w:tab/>
      </w:r>
      <w:r w:rsidRPr="00A4538E">
        <w:rPr>
          <w:rFonts w:ascii="Times New Roman" w:eastAsia="Calibri" w:hAnsi="Times New Roman" w:cs="Times New Roman"/>
          <w:kern w:val="0"/>
          <w14:ligatures w14:val="none"/>
        </w:rPr>
        <w:tab/>
      </w:r>
      <w:r w:rsidRPr="00A4538E">
        <w:rPr>
          <w:rFonts w:ascii="Times New Roman" w:eastAsia="Calibri" w:hAnsi="Times New Roman" w:cs="Times New Roman"/>
          <w:kern w:val="0"/>
          <w14:ligatures w14:val="none"/>
        </w:rPr>
        <w:tab/>
      </w:r>
      <w:r w:rsidRPr="00A4538E">
        <w:rPr>
          <w:rFonts w:ascii="Times New Roman" w:eastAsia="Calibri" w:hAnsi="Times New Roman" w:cs="Times New Roman"/>
          <w:kern w:val="0"/>
          <w14:ligatures w14:val="none"/>
        </w:rPr>
        <w:tab/>
        <w:t xml:space="preserve">        17.88%</w:t>
      </w:r>
    </w:p>
    <w:p w14:paraId="6EDDAB73" w14:textId="77777777" w:rsidR="00A4538E" w:rsidRPr="00A4538E" w:rsidRDefault="00A4538E" w:rsidP="00A4538E">
      <w:pPr>
        <w:spacing w:after="0" w:line="276" w:lineRule="auto"/>
        <w:ind w:left="720" w:firstLine="720"/>
        <w:contextualSpacing/>
        <w:rPr>
          <w:rFonts w:ascii="Times New Roman" w:eastAsia="Calibri" w:hAnsi="Times New Roman" w:cs="Times New Roman"/>
          <w:b/>
          <w:kern w:val="0"/>
          <w14:ligatures w14:val="none"/>
        </w:rPr>
      </w:pPr>
    </w:p>
    <w:p w14:paraId="4907549C" w14:textId="77777777" w:rsidR="00A4538E" w:rsidRPr="00A4538E" w:rsidRDefault="00A4538E" w:rsidP="00A4538E">
      <w:pPr>
        <w:tabs>
          <w:tab w:val="left" w:pos="6480"/>
          <w:tab w:val="left" w:pos="7020"/>
        </w:tabs>
        <w:spacing w:after="0" w:line="276" w:lineRule="auto"/>
        <w:ind w:left="720" w:firstLine="720"/>
        <w:contextualSpacing/>
        <w:rPr>
          <w:rFonts w:ascii="Times New Roman" w:eastAsia="Calibri" w:hAnsi="Times New Roman" w:cs="Times New Roman"/>
          <w:b/>
          <w:kern w:val="0"/>
          <w:sz w:val="20"/>
          <w:szCs w:val="20"/>
          <w14:ligatures w14:val="none"/>
        </w:rPr>
      </w:pPr>
      <w:r w:rsidRPr="00A4538E">
        <w:rPr>
          <w:rFonts w:ascii="Times New Roman" w:eastAsia="Calibri" w:hAnsi="Times New Roman" w:cs="Times New Roman"/>
          <w:b/>
          <w:kern w:val="0"/>
          <w14:ligatures w14:val="none"/>
        </w:rPr>
        <w:t>Bond Index</w:t>
      </w:r>
      <w:r w:rsidRPr="00A4538E">
        <w:rPr>
          <w:rFonts w:ascii="Times New Roman" w:eastAsia="Calibri" w:hAnsi="Times New Roman" w:cs="Times New Roman"/>
          <w:b/>
          <w:kern w:val="0"/>
          <w14:ligatures w14:val="none"/>
        </w:rPr>
        <w:tab/>
      </w:r>
      <w:r w:rsidRPr="00A4538E">
        <w:rPr>
          <w:rFonts w:ascii="Times New Roman" w:eastAsia="Calibri" w:hAnsi="Times New Roman" w:cs="Times New Roman"/>
          <w:b/>
          <w:kern w:val="0"/>
          <w:sz w:val="20"/>
          <w:szCs w:val="20"/>
          <w14:ligatures w14:val="none"/>
        </w:rPr>
        <w:t>(As of 11/30/24)*</w:t>
      </w:r>
    </w:p>
    <w:p w14:paraId="3945CC00" w14:textId="77777777" w:rsidR="00A4538E" w:rsidRPr="00A4538E" w:rsidRDefault="00A4538E" w:rsidP="00A4538E">
      <w:pPr>
        <w:spacing w:after="0" w:line="276" w:lineRule="auto"/>
        <w:rPr>
          <w:rFonts w:ascii="Times New Roman" w:eastAsia="Calibri" w:hAnsi="Times New Roman" w:cs="Times New Roman"/>
          <w:kern w:val="0"/>
          <w14:ligatures w14:val="none"/>
        </w:rPr>
      </w:pPr>
      <w:r w:rsidRPr="00A4538E">
        <w:rPr>
          <w:rFonts w:ascii="Times New Roman" w:eastAsia="Calibri" w:hAnsi="Times New Roman" w:cs="Times New Roman"/>
          <w:kern w:val="0"/>
          <w14:ligatures w14:val="none"/>
        </w:rPr>
        <w:tab/>
      </w:r>
      <w:r w:rsidRPr="00A4538E">
        <w:rPr>
          <w:rFonts w:ascii="Times New Roman" w:eastAsia="Calibri" w:hAnsi="Times New Roman" w:cs="Times New Roman"/>
          <w:kern w:val="0"/>
          <w14:ligatures w14:val="none"/>
        </w:rPr>
        <w:tab/>
        <w:t>Bloomberg U.S. Aggregate Bond Index</w:t>
      </w:r>
      <w:r w:rsidRPr="00A4538E">
        <w:rPr>
          <w:rFonts w:ascii="Times New Roman" w:eastAsia="Calibri" w:hAnsi="Times New Roman" w:cs="Times New Roman"/>
          <w:kern w:val="0"/>
          <w14:ligatures w14:val="none"/>
        </w:rPr>
        <w:tab/>
        <w:t xml:space="preserve">    </w:t>
      </w:r>
      <w:r w:rsidRPr="00A4538E">
        <w:rPr>
          <w:rFonts w:ascii="Times New Roman" w:eastAsia="Calibri" w:hAnsi="Times New Roman" w:cs="Times New Roman"/>
          <w:kern w:val="0"/>
          <w14:ligatures w14:val="none"/>
        </w:rPr>
        <w:tab/>
        <w:t xml:space="preserve">         2.93%</w:t>
      </w:r>
    </w:p>
    <w:p w14:paraId="45AFE1FC" w14:textId="77777777" w:rsidR="00A4538E" w:rsidRPr="00A4538E" w:rsidRDefault="00A4538E" w:rsidP="00A4538E">
      <w:pPr>
        <w:tabs>
          <w:tab w:val="left" w:pos="1471"/>
        </w:tabs>
        <w:spacing w:after="0" w:line="276" w:lineRule="auto"/>
        <w:rPr>
          <w:rFonts w:ascii="Times New Roman" w:eastAsia="Calibri" w:hAnsi="Times New Roman" w:cs="Times New Roman"/>
          <w:b/>
          <w:kern w:val="0"/>
          <w:sz w:val="16"/>
          <w:szCs w:val="16"/>
          <w14:ligatures w14:val="none"/>
        </w:rPr>
      </w:pPr>
      <w:r w:rsidRPr="00A4538E">
        <w:rPr>
          <w:rFonts w:ascii="Times New Roman" w:eastAsia="Calibri" w:hAnsi="Times New Roman" w:cs="Times New Roman"/>
          <w:kern w:val="0"/>
          <w14:ligatures w14:val="none"/>
        </w:rPr>
        <w:tab/>
      </w:r>
      <w:r w:rsidRPr="00A4538E">
        <w:rPr>
          <w:rFonts w:ascii="Times New Roman" w:eastAsia="Calibri" w:hAnsi="Times New Roman" w:cs="Times New Roman"/>
          <w:b/>
          <w:kern w:val="0"/>
          <w14:ligatures w14:val="none"/>
        </w:rPr>
        <w:tab/>
      </w:r>
      <w:r w:rsidRPr="00A4538E">
        <w:rPr>
          <w:rFonts w:ascii="Times New Roman" w:eastAsia="Calibri" w:hAnsi="Times New Roman" w:cs="Times New Roman"/>
          <w:b/>
          <w:kern w:val="0"/>
          <w14:ligatures w14:val="none"/>
        </w:rPr>
        <w:tab/>
      </w:r>
      <w:r w:rsidRPr="00A4538E">
        <w:rPr>
          <w:rFonts w:ascii="Times New Roman" w:eastAsia="Calibri" w:hAnsi="Times New Roman" w:cs="Times New Roman"/>
          <w:b/>
          <w:kern w:val="0"/>
          <w14:ligatures w14:val="none"/>
        </w:rPr>
        <w:tab/>
      </w:r>
      <w:r w:rsidRPr="00A4538E">
        <w:rPr>
          <w:rFonts w:ascii="Times New Roman" w:eastAsia="Calibri" w:hAnsi="Times New Roman" w:cs="Times New Roman"/>
          <w:kern w:val="0"/>
          <w:sz w:val="16"/>
          <w:szCs w:val="16"/>
          <w14:ligatures w14:val="none"/>
        </w:rPr>
        <w:tab/>
      </w:r>
    </w:p>
    <w:p w14:paraId="077D4D0D" w14:textId="77777777" w:rsidR="00A4538E" w:rsidRPr="00A4538E" w:rsidRDefault="00A4538E" w:rsidP="00A4538E">
      <w:pPr>
        <w:spacing w:after="0" w:line="276" w:lineRule="auto"/>
        <w:ind w:left="720"/>
        <w:contextualSpacing/>
        <w:rPr>
          <w:rFonts w:ascii="Times New Roman" w:eastAsia="Calibri" w:hAnsi="Times New Roman" w:cs="Times New Roman"/>
          <w:b/>
          <w:kern w:val="0"/>
          <w:sz w:val="16"/>
          <w:szCs w:val="16"/>
          <w14:ligatures w14:val="none"/>
        </w:rPr>
      </w:pPr>
      <w:r w:rsidRPr="00A4538E">
        <w:rPr>
          <w:rFonts w:ascii="Times New Roman" w:eastAsia="Calibri" w:hAnsi="Times New Roman" w:cs="Times New Roman"/>
          <w:b/>
          <w:kern w:val="0"/>
          <w:sz w:val="16"/>
          <w:szCs w:val="16"/>
          <w14:ligatures w14:val="none"/>
        </w:rPr>
        <w:t xml:space="preserve">                 (Source:  Raymond James &amp; Russell Investments websites)</w:t>
      </w:r>
    </w:p>
    <w:p w14:paraId="6D01B0A7" w14:textId="77777777" w:rsidR="00A4538E" w:rsidRPr="00A4538E" w:rsidRDefault="00A4538E" w:rsidP="00A4538E">
      <w:pPr>
        <w:spacing w:after="0" w:line="276" w:lineRule="auto"/>
        <w:rPr>
          <w:rFonts w:ascii="Times New Roman" w:eastAsia="Calibri" w:hAnsi="Times New Roman" w:cs="Times New Roman"/>
          <w:b/>
          <w:kern w:val="0"/>
          <w:sz w:val="16"/>
          <w:szCs w:val="16"/>
          <w14:ligatures w14:val="none"/>
        </w:rPr>
      </w:pPr>
    </w:p>
    <w:p w14:paraId="74E2FB10" w14:textId="77777777" w:rsidR="00A4538E" w:rsidRPr="00A4538E" w:rsidRDefault="00A4538E" w:rsidP="00A4538E">
      <w:pPr>
        <w:spacing w:after="0" w:line="276" w:lineRule="auto"/>
        <w:ind w:firstLine="720"/>
        <w:rPr>
          <w:rFonts w:ascii="Times New Roman" w:eastAsia="Calibri" w:hAnsi="Times New Roman" w:cs="Times New Roman"/>
          <w:kern w:val="0"/>
          <w:sz w:val="16"/>
          <w:szCs w:val="16"/>
          <w14:ligatures w14:val="none"/>
        </w:rPr>
      </w:pPr>
      <w:r w:rsidRPr="00A4538E">
        <w:rPr>
          <w:rFonts w:ascii="Times New Roman" w:eastAsia="Calibri" w:hAnsi="Times New Roman" w:cs="Times New Roman"/>
          <w:kern w:val="0"/>
          <w14:ligatures w14:val="none"/>
        </w:rPr>
        <w:t xml:space="preserve">           </w:t>
      </w:r>
      <w:r w:rsidRPr="00A4538E">
        <w:rPr>
          <w:rFonts w:ascii="Times New Roman" w:eastAsia="Calibri" w:hAnsi="Times New Roman" w:cs="Times New Roman"/>
          <w:kern w:val="0"/>
          <w:sz w:val="16"/>
          <w:szCs w:val="16"/>
          <w14:ligatures w14:val="none"/>
        </w:rPr>
        <w:t>*Inclusion of these indexes is for illustrative purposes only.  Keep in mind that individuals cannot</w:t>
      </w:r>
    </w:p>
    <w:p w14:paraId="42C69384" w14:textId="77777777" w:rsidR="00A4538E" w:rsidRPr="00A4538E" w:rsidRDefault="00A4538E" w:rsidP="00A4538E">
      <w:pPr>
        <w:spacing w:after="0" w:line="276" w:lineRule="auto"/>
        <w:ind w:firstLine="720"/>
        <w:rPr>
          <w:rFonts w:ascii="Times New Roman" w:eastAsia="Calibri" w:hAnsi="Times New Roman" w:cs="Times New Roman"/>
          <w:kern w:val="0"/>
          <w:sz w:val="16"/>
          <w:szCs w:val="16"/>
          <w14:ligatures w14:val="none"/>
        </w:rPr>
      </w:pPr>
      <w:r w:rsidRPr="00A4538E">
        <w:rPr>
          <w:rFonts w:ascii="Times New Roman" w:eastAsia="Calibri" w:hAnsi="Times New Roman" w:cs="Times New Roman"/>
          <w:kern w:val="0"/>
          <w:sz w:val="16"/>
          <w:szCs w:val="16"/>
          <w14:ligatures w14:val="none"/>
        </w:rPr>
        <w:t xml:space="preserve">                 invest directly in any index, and index performance does not include transaction costs or other fees,</w:t>
      </w:r>
    </w:p>
    <w:p w14:paraId="57160EC9" w14:textId="77777777" w:rsidR="00A4538E" w:rsidRPr="00A4538E" w:rsidRDefault="00A4538E" w:rsidP="00A4538E">
      <w:pPr>
        <w:spacing w:after="0" w:line="276" w:lineRule="auto"/>
        <w:ind w:firstLine="720"/>
        <w:rPr>
          <w:rFonts w:ascii="Times New Roman" w:eastAsia="Calibri" w:hAnsi="Times New Roman" w:cs="Times New Roman"/>
          <w:kern w:val="0"/>
          <w:sz w:val="16"/>
          <w:szCs w:val="16"/>
          <w14:ligatures w14:val="none"/>
        </w:rPr>
      </w:pPr>
      <w:r w:rsidRPr="00A4538E">
        <w:rPr>
          <w:rFonts w:ascii="Times New Roman" w:eastAsia="Calibri" w:hAnsi="Times New Roman" w:cs="Times New Roman"/>
          <w:kern w:val="0"/>
          <w:sz w:val="16"/>
          <w:szCs w:val="16"/>
          <w14:ligatures w14:val="none"/>
        </w:rPr>
        <w:t xml:space="preserve">                 which will affect actual investment performance.  Individual investor’s results will vary.  Past</w:t>
      </w:r>
    </w:p>
    <w:p w14:paraId="04421B13" w14:textId="77777777" w:rsidR="00A4538E" w:rsidRPr="00A4538E" w:rsidRDefault="00A4538E" w:rsidP="00A4538E">
      <w:pPr>
        <w:spacing w:after="0" w:line="276" w:lineRule="auto"/>
        <w:ind w:firstLine="720"/>
        <w:rPr>
          <w:rFonts w:ascii="Times New Roman" w:eastAsia="Calibri" w:hAnsi="Times New Roman" w:cs="Times New Roman"/>
          <w:b/>
          <w:kern w:val="0"/>
          <w:lang w:bidi="en-US"/>
          <w14:ligatures w14:val="none"/>
        </w:rPr>
      </w:pPr>
      <w:r w:rsidRPr="00A4538E">
        <w:rPr>
          <w:rFonts w:ascii="Times New Roman" w:eastAsia="Calibri" w:hAnsi="Times New Roman" w:cs="Times New Roman"/>
          <w:kern w:val="0"/>
          <w:sz w:val="16"/>
          <w:szCs w:val="16"/>
          <w14:ligatures w14:val="none"/>
        </w:rPr>
        <w:t xml:space="preserve">                 performance does not guarantee future results.</w:t>
      </w:r>
    </w:p>
    <w:p w14:paraId="366C34A5" w14:textId="77777777" w:rsidR="00A4538E" w:rsidRDefault="00A4538E" w:rsidP="00A4538E">
      <w:pPr>
        <w:tabs>
          <w:tab w:val="left" w:pos="1635"/>
          <w:tab w:val="center" w:pos="4806"/>
        </w:tabs>
        <w:spacing w:after="0" w:line="240" w:lineRule="auto"/>
        <w:ind w:firstLine="720"/>
        <w:rPr>
          <w:rFonts w:ascii="Times New Roman" w:eastAsia="Times New Roman" w:hAnsi="Times New Roman" w:cs="Times New Roman"/>
          <w:b/>
        </w:rPr>
      </w:pPr>
    </w:p>
    <w:p w14:paraId="73107B71" w14:textId="77777777" w:rsidR="00A4538E" w:rsidRDefault="00A4538E">
      <w:pPr>
        <w:tabs>
          <w:tab w:val="left" w:pos="1635"/>
          <w:tab w:val="center" w:pos="4806"/>
        </w:tabs>
        <w:spacing w:after="0" w:line="240" w:lineRule="auto"/>
        <w:ind w:firstLine="720"/>
        <w:jc w:val="center"/>
        <w:rPr>
          <w:rFonts w:ascii="Times New Roman" w:eastAsia="Times New Roman" w:hAnsi="Times New Roman" w:cs="Times New Roman"/>
          <w:b/>
        </w:rPr>
      </w:pPr>
    </w:p>
    <w:p w14:paraId="2A811FC8" w14:textId="77777777" w:rsidR="00A4538E" w:rsidRDefault="00A4538E">
      <w:pPr>
        <w:tabs>
          <w:tab w:val="left" w:pos="1635"/>
          <w:tab w:val="center" w:pos="4806"/>
        </w:tabs>
        <w:spacing w:after="0" w:line="240" w:lineRule="auto"/>
        <w:ind w:firstLine="720"/>
        <w:jc w:val="center"/>
        <w:rPr>
          <w:rFonts w:ascii="Times New Roman" w:eastAsia="Times New Roman" w:hAnsi="Times New Roman" w:cs="Times New Roman"/>
          <w:b/>
        </w:rPr>
      </w:pPr>
    </w:p>
    <w:p w14:paraId="0AA51556" w14:textId="77777777" w:rsidR="00A4538E" w:rsidRDefault="00A4538E">
      <w:pPr>
        <w:tabs>
          <w:tab w:val="left" w:pos="1635"/>
          <w:tab w:val="center" w:pos="4806"/>
        </w:tabs>
        <w:spacing w:after="0" w:line="240" w:lineRule="auto"/>
        <w:ind w:firstLine="720"/>
        <w:jc w:val="center"/>
        <w:rPr>
          <w:rFonts w:ascii="Times New Roman" w:eastAsia="Times New Roman" w:hAnsi="Times New Roman" w:cs="Times New Roman"/>
          <w:b/>
        </w:rPr>
      </w:pPr>
    </w:p>
    <w:p w14:paraId="253B5203" w14:textId="77777777" w:rsidR="00A4538E" w:rsidRDefault="00A4538E">
      <w:pPr>
        <w:tabs>
          <w:tab w:val="left" w:pos="1635"/>
          <w:tab w:val="center" w:pos="4806"/>
        </w:tabs>
        <w:spacing w:after="0" w:line="240" w:lineRule="auto"/>
        <w:ind w:firstLine="720"/>
        <w:jc w:val="center"/>
        <w:rPr>
          <w:rFonts w:ascii="Times New Roman" w:eastAsia="Times New Roman" w:hAnsi="Times New Roman" w:cs="Times New Roman"/>
          <w:b/>
        </w:rPr>
      </w:pPr>
    </w:p>
    <w:p w14:paraId="19B02512" w14:textId="77777777" w:rsidR="00A4538E" w:rsidRDefault="00A4538E">
      <w:pPr>
        <w:tabs>
          <w:tab w:val="left" w:pos="1635"/>
          <w:tab w:val="center" w:pos="4806"/>
        </w:tabs>
        <w:spacing w:after="0" w:line="240" w:lineRule="auto"/>
        <w:ind w:firstLine="720"/>
        <w:jc w:val="center"/>
        <w:rPr>
          <w:rFonts w:ascii="Times New Roman" w:eastAsia="Times New Roman" w:hAnsi="Times New Roman" w:cs="Times New Roman"/>
          <w:b/>
        </w:rPr>
      </w:pPr>
    </w:p>
    <w:p w14:paraId="25B1C241" w14:textId="77777777" w:rsidR="00A4538E" w:rsidRDefault="00A4538E">
      <w:pPr>
        <w:tabs>
          <w:tab w:val="left" w:pos="1635"/>
          <w:tab w:val="center" w:pos="4806"/>
        </w:tabs>
        <w:spacing w:after="0" w:line="240" w:lineRule="auto"/>
        <w:ind w:firstLine="720"/>
        <w:jc w:val="center"/>
        <w:rPr>
          <w:rFonts w:ascii="Times New Roman" w:eastAsia="Times New Roman" w:hAnsi="Times New Roman" w:cs="Times New Roman"/>
          <w:b/>
        </w:rPr>
      </w:pPr>
    </w:p>
    <w:p w14:paraId="5E1B513C" w14:textId="77777777" w:rsidR="00A4538E" w:rsidRDefault="00A4538E">
      <w:pPr>
        <w:tabs>
          <w:tab w:val="left" w:pos="1635"/>
          <w:tab w:val="center" w:pos="4806"/>
        </w:tabs>
        <w:spacing w:after="0" w:line="240" w:lineRule="auto"/>
        <w:ind w:firstLine="720"/>
        <w:jc w:val="center"/>
        <w:rPr>
          <w:rFonts w:ascii="Times New Roman" w:eastAsia="Times New Roman" w:hAnsi="Times New Roman" w:cs="Times New Roman"/>
          <w:b/>
        </w:rPr>
      </w:pPr>
    </w:p>
    <w:p w14:paraId="30DE691E" w14:textId="77777777" w:rsidR="00A4538E" w:rsidRDefault="00A4538E">
      <w:pPr>
        <w:tabs>
          <w:tab w:val="left" w:pos="1635"/>
          <w:tab w:val="center" w:pos="4806"/>
        </w:tabs>
        <w:spacing w:after="0" w:line="240" w:lineRule="auto"/>
        <w:ind w:firstLine="720"/>
        <w:jc w:val="center"/>
        <w:rPr>
          <w:rFonts w:ascii="Times New Roman" w:eastAsia="Times New Roman" w:hAnsi="Times New Roman" w:cs="Times New Roman"/>
          <w:b/>
        </w:rPr>
      </w:pPr>
    </w:p>
    <w:p w14:paraId="58536910" w14:textId="574E920B" w:rsidR="0091129A" w:rsidRDefault="008529DC">
      <w:pPr>
        <w:tabs>
          <w:tab w:val="left" w:pos="1635"/>
          <w:tab w:val="center" w:pos="4806"/>
        </w:tabs>
        <w:spacing w:after="0" w:line="240" w:lineRule="auto"/>
        <w:ind w:firstLine="720"/>
        <w:jc w:val="center"/>
        <w:rPr>
          <w:rFonts w:ascii="Times New Roman" w:eastAsia="Times New Roman" w:hAnsi="Times New Roman" w:cs="Times New Roman"/>
          <w:b/>
        </w:rPr>
      </w:pPr>
      <w:r>
        <w:rPr>
          <w:rFonts w:ascii="Times New Roman" w:eastAsia="Times New Roman" w:hAnsi="Times New Roman" w:cs="Times New Roman"/>
          <w:b/>
        </w:rPr>
        <w:lastRenderedPageBreak/>
        <w:t>FINANCIAL AND INVESTMENT PLANNING</w:t>
      </w:r>
    </w:p>
    <w:p w14:paraId="12F27A16" w14:textId="77777777" w:rsidR="0091129A" w:rsidRDefault="0091129A">
      <w:pPr>
        <w:tabs>
          <w:tab w:val="left" w:pos="1635"/>
          <w:tab w:val="center" w:pos="4806"/>
        </w:tabs>
        <w:spacing w:after="0" w:line="240" w:lineRule="auto"/>
        <w:ind w:firstLine="720"/>
        <w:rPr>
          <w:rFonts w:ascii="Times New Roman" w:eastAsia="Times New Roman" w:hAnsi="Times New Roman" w:cs="Times New Roman"/>
          <w:b/>
        </w:rPr>
      </w:pPr>
    </w:p>
    <w:p w14:paraId="1F72DF8F" w14:textId="283CEFB4" w:rsidR="00710B20" w:rsidRDefault="00710B20">
      <w:pPr>
        <w:tabs>
          <w:tab w:val="left" w:pos="1635"/>
          <w:tab w:val="center" w:pos="4806"/>
        </w:tabs>
        <w:spacing w:after="0" w:line="240" w:lineRule="auto"/>
        <w:ind w:firstLine="720"/>
        <w:rPr>
          <w:rFonts w:ascii="Times New Roman" w:eastAsia="Times New Roman" w:hAnsi="Times New Roman" w:cs="Times New Roman"/>
          <w:bCs/>
        </w:rPr>
      </w:pPr>
      <w:r>
        <w:rPr>
          <w:rFonts w:ascii="Times New Roman" w:eastAsia="Times New Roman" w:hAnsi="Times New Roman" w:cs="Times New Roman"/>
          <w:bCs/>
        </w:rPr>
        <w:t>This is the last monthly letter of 20</w:t>
      </w:r>
      <w:r w:rsidR="00365CE5">
        <w:rPr>
          <w:rFonts w:ascii="Times New Roman" w:eastAsia="Times New Roman" w:hAnsi="Times New Roman" w:cs="Times New Roman"/>
          <w:bCs/>
        </w:rPr>
        <w:t>2</w:t>
      </w:r>
      <w:r>
        <w:rPr>
          <w:rFonts w:ascii="Times New Roman" w:eastAsia="Times New Roman" w:hAnsi="Times New Roman" w:cs="Times New Roman"/>
          <w:bCs/>
        </w:rPr>
        <w:t xml:space="preserve">4. </w:t>
      </w:r>
      <w:r w:rsidR="0086770F">
        <w:rPr>
          <w:rFonts w:ascii="Times New Roman" w:eastAsia="Times New Roman" w:hAnsi="Times New Roman" w:cs="Times New Roman"/>
          <w:bCs/>
        </w:rPr>
        <w:t>And t</w:t>
      </w:r>
      <w:r>
        <w:rPr>
          <w:rFonts w:ascii="Times New Roman" w:eastAsia="Times New Roman" w:hAnsi="Times New Roman" w:cs="Times New Roman"/>
          <w:bCs/>
        </w:rPr>
        <w:t xml:space="preserve">his is a good time to reflect </w:t>
      </w:r>
      <w:r w:rsidR="003130B4">
        <w:rPr>
          <w:rFonts w:ascii="Times New Roman" w:eastAsia="Times New Roman" w:hAnsi="Times New Roman" w:cs="Times New Roman"/>
          <w:bCs/>
        </w:rPr>
        <w:t xml:space="preserve">on </w:t>
      </w:r>
      <w:r>
        <w:rPr>
          <w:rFonts w:ascii="Times New Roman" w:eastAsia="Times New Roman" w:hAnsi="Times New Roman" w:cs="Times New Roman"/>
          <w:bCs/>
        </w:rPr>
        <w:t>what has occurred in the financial markets</w:t>
      </w:r>
      <w:r w:rsidR="00777CE0">
        <w:rPr>
          <w:rFonts w:ascii="Times New Roman" w:eastAsia="Times New Roman" w:hAnsi="Times New Roman" w:cs="Times New Roman"/>
          <w:bCs/>
        </w:rPr>
        <w:t xml:space="preserve"> in the last several years</w:t>
      </w:r>
      <w:r>
        <w:rPr>
          <w:rFonts w:ascii="Times New Roman" w:eastAsia="Times New Roman" w:hAnsi="Times New Roman" w:cs="Times New Roman"/>
          <w:bCs/>
        </w:rPr>
        <w:t>.</w:t>
      </w:r>
    </w:p>
    <w:p w14:paraId="685CD9D8" w14:textId="6366423B" w:rsidR="00710B20" w:rsidRDefault="00710B20">
      <w:pPr>
        <w:tabs>
          <w:tab w:val="left" w:pos="1635"/>
          <w:tab w:val="center" w:pos="4806"/>
        </w:tabs>
        <w:spacing w:after="0" w:line="240" w:lineRule="auto"/>
        <w:ind w:firstLine="720"/>
        <w:rPr>
          <w:rFonts w:ascii="Times New Roman" w:eastAsia="Times New Roman" w:hAnsi="Times New Roman" w:cs="Times New Roman"/>
          <w:bCs/>
        </w:rPr>
      </w:pPr>
      <w:r>
        <w:rPr>
          <w:rFonts w:ascii="Times New Roman" w:eastAsia="Times New Roman" w:hAnsi="Times New Roman" w:cs="Times New Roman"/>
          <w:bCs/>
        </w:rPr>
        <w:t>Let’s start with equities. Here</w:t>
      </w:r>
      <w:r w:rsidR="00365CE5">
        <w:rPr>
          <w:rFonts w:ascii="Times New Roman" w:eastAsia="Times New Roman" w:hAnsi="Times New Roman" w:cs="Times New Roman"/>
          <w:bCs/>
        </w:rPr>
        <w:t xml:space="preserve"> </w:t>
      </w:r>
      <w:r>
        <w:rPr>
          <w:rFonts w:ascii="Times New Roman" w:eastAsia="Times New Roman" w:hAnsi="Times New Roman" w:cs="Times New Roman"/>
          <w:bCs/>
        </w:rPr>
        <w:t>a</w:t>
      </w:r>
      <w:r w:rsidR="00365CE5">
        <w:rPr>
          <w:rFonts w:ascii="Times New Roman" w:eastAsia="Times New Roman" w:hAnsi="Times New Roman" w:cs="Times New Roman"/>
          <w:bCs/>
        </w:rPr>
        <w:t>r</w:t>
      </w:r>
      <w:r>
        <w:rPr>
          <w:rFonts w:ascii="Times New Roman" w:eastAsia="Times New Roman" w:hAnsi="Times New Roman" w:cs="Times New Roman"/>
          <w:bCs/>
        </w:rPr>
        <w:t xml:space="preserve">e the last </w:t>
      </w:r>
      <w:r w:rsidR="009C7C6E">
        <w:rPr>
          <w:rFonts w:ascii="Times New Roman" w:eastAsia="Times New Roman" w:hAnsi="Times New Roman" w:cs="Times New Roman"/>
          <w:bCs/>
        </w:rPr>
        <w:t xml:space="preserve">six </w:t>
      </w:r>
      <w:r>
        <w:rPr>
          <w:rFonts w:ascii="Times New Roman" w:eastAsia="Times New Roman" w:hAnsi="Times New Roman" w:cs="Times New Roman"/>
          <w:bCs/>
        </w:rPr>
        <w:t>year</w:t>
      </w:r>
      <w:r w:rsidR="000047BA">
        <w:rPr>
          <w:rFonts w:ascii="Times New Roman" w:eastAsia="Times New Roman" w:hAnsi="Times New Roman" w:cs="Times New Roman"/>
          <w:bCs/>
        </w:rPr>
        <w:t>’</w:t>
      </w:r>
      <w:r>
        <w:rPr>
          <w:rFonts w:ascii="Times New Roman" w:eastAsia="Times New Roman" w:hAnsi="Times New Roman" w:cs="Times New Roman"/>
          <w:bCs/>
        </w:rPr>
        <w:t xml:space="preserve">s returns for the S&amp;P 500 and the NASDAQ. I am using two </w:t>
      </w:r>
      <w:r w:rsidR="00777CE0">
        <w:rPr>
          <w:rFonts w:ascii="Times New Roman" w:eastAsia="Times New Roman" w:hAnsi="Times New Roman" w:cs="Times New Roman"/>
          <w:bCs/>
        </w:rPr>
        <w:t>e</w:t>
      </w:r>
      <w:r>
        <w:rPr>
          <w:rFonts w:ascii="Times New Roman" w:eastAsia="Times New Roman" w:hAnsi="Times New Roman" w:cs="Times New Roman"/>
          <w:bCs/>
        </w:rPr>
        <w:t>xchange</w:t>
      </w:r>
      <w:r w:rsidR="00777CE0">
        <w:rPr>
          <w:rFonts w:ascii="Times New Roman" w:eastAsia="Times New Roman" w:hAnsi="Times New Roman" w:cs="Times New Roman"/>
          <w:bCs/>
        </w:rPr>
        <w:t>-t</w:t>
      </w:r>
      <w:r>
        <w:rPr>
          <w:rFonts w:ascii="Times New Roman" w:eastAsia="Times New Roman" w:hAnsi="Times New Roman" w:cs="Times New Roman"/>
          <w:bCs/>
        </w:rPr>
        <w:t xml:space="preserve">raded </w:t>
      </w:r>
      <w:r w:rsidR="00777CE0">
        <w:rPr>
          <w:rFonts w:ascii="Times New Roman" w:eastAsia="Times New Roman" w:hAnsi="Times New Roman" w:cs="Times New Roman"/>
          <w:bCs/>
        </w:rPr>
        <w:t>f</w:t>
      </w:r>
      <w:r>
        <w:rPr>
          <w:rFonts w:ascii="Times New Roman" w:eastAsia="Times New Roman" w:hAnsi="Times New Roman" w:cs="Times New Roman"/>
          <w:bCs/>
        </w:rPr>
        <w:t>unds</w:t>
      </w:r>
      <w:r w:rsidR="00777CE0">
        <w:rPr>
          <w:rFonts w:ascii="Times New Roman" w:eastAsia="Times New Roman" w:hAnsi="Times New Roman" w:cs="Times New Roman"/>
          <w:bCs/>
        </w:rPr>
        <w:t xml:space="preserve"> (ETFs)</w:t>
      </w:r>
      <w:r>
        <w:rPr>
          <w:rFonts w:ascii="Times New Roman" w:eastAsia="Times New Roman" w:hAnsi="Times New Roman" w:cs="Times New Roman"/>
          <w:bCs/>
        </w:rPr>
        <w:t xml:space="preserve"> that all investors could have owned during this period. And I am writing this letter on December 8, 202</w:t>
      </w:r>
      <w:r w:rsidR="00365CE5">
        <w:rPr>
          <w:rFonts w:ascii="Times New Roman" w:eastAsia="Times New Roman" w:hAnsi="Times New Roman" w:cs="Times New Roman"/>
          <w:bCs/>
        </w:rPr>
        <w:t>4</w:t>
      </w:r>
      <w:r>
        <w:rPr>
          <w:rFonts w:ascii="Times New Roman" w:eastAsia="Times New Roman" w:hAnsi="Times New Roman" w:cs="Times New Roman"/>
          <w:bCs/>
        </w:rPr>
        <w:t>.</w:t>
      </w:r>
    </w:p>
    <w:p w14:paraId="6D8837D2" w14:textId="0D48D5A1" w:rsidR="00710B20" w:rsidRDefault="002555C4" w:rsidP="00710B20">
      <w:pPr>
        <w:tabs>
          <w:tab w:val="left" w:pos="1635"/>
          <w:tab w:val="center" w:pos="4806"/>
        </w:tabs>
        <w:spacing w:after="0" w:line="240" w:lineRule="auto"/>
        <w:ind w:firstLine="720"/>
        <w:rPr>
          <w:rFonts w:ascii="Times New Roman" w:eastAsia="Times New Roman" w:hAnsi="Times New Roman" w:cs="Times New Roman"/>
          <w:bCs/>
        </w:rPr>
      </w:pPr>
      <w:r>
        <w:rPr>
          <w:rFonts w:ascii="Times New Roman" w:eastAsia="Times New Roman" w:hAnsi="Times New Roman" w:cs="Times New Roman"/>
          <w:bCs/>
        </w:rPr>
        <w:t xml:space="preserve"> </w:t>
      </w:r>
    </w:p>
    <w:tbl>
      <w:tblPr>
        <w:tblStyle w:val="TableGrid"/>
        <w:tblpPr w:leftFromText="180" w:rightFromText="180" w:vertAnchor="text" w:horzAnchor="margin" w:tblpXSpec="center" w:tblpY="9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1"/>
        <w:gridCol w:w="3031"/>
        <w:gridCol w:w="3289"/>
      </w:tblGrid>
      <w:tr w:rsidR="00DA425D" w14:paraId="7E94E152" w14:textId="77777777" w:rsidTr="00DA425D">
        <w:tc>
          <w:tcPr>
            <w:tcW w:w="1361" w:type="dxa"/>
          </w:tcPr>
          <w:p w14:paraId="784EDE63" w14:textId="77777777" w:rsidR="00710B20" w:rsidRDefault="00710B20" w:rsidP="00710B20">
            <w:pPr>
              <w:tabs>
                <w:tab w:val="left" w:pos="1635"/>
                <w:tab w:val="center" w:pos="4806"/>
              </w:tabs>
              <w:rPr>
                <w:rFonts w:ascii="Times New Roman" w:eastAsia="Times New Roman" w:hAnsi="Times New Roman" w:cs="Times New Roman"/>
                <w:bCs/>
              </w:rPr>
            </w:pPr>
          </w:p>
        </w:tc>
        <w:tc>
          <w:tcPr>
            <w:tcW w:w="3031" w:type="dxa"/>
          </w:tcPr>
          <w:p w14:paraId="04B68743" w14:textId="77777777" w:rsidR="00710B20" w:rsidRPr="00710B20" w:rsidRDefault="00710B20" w:rsidP="00710B20">
            <w:pPr>
              <w:tabs>
                <w:tab w:val="left" w:pos="1635"/>
                <w:tab w:val="center" w:pos="4806"/>
              </w:tabs>
              <w:jc w:val="center"/>
              <w:rPr>
                <w:rFonts w:ascii="Times New Roman" w:eastAsia="Times New Roman" w:hAnsi="Times New Roman" w:cs="Times New Roman"/>
                <w:b/>
              </w:rPr>
            </w:pPr>
            <w:r w:rsidRPr="00710B20">
              <w:rPr>
                <w:rFonts w:ascii="Times New Roman" w:eastAsia="Times New Roman" w:hAnsi="Times New Roman" w:cs="Times New Roman"/>
                <w:b/>
              </w:rPr>
              <w:t>S&amp;P 500/ SPY</w:t>
            </w:r>
          </w:p>
        </w:tc>
        <w:tc>
          <w:tcPr>
            <w:tcW w:w="3289" w:type="dxa"/>
          </w:tcPr>
          <w:p w14:paraId="696FBC3A" w14:textId="77777777" w:rsidR="00710B20" w:rsidRPr="00710B20" w:rsidRDefault="00710B20" w:rsidP="00710B20">
            <w:pPr>
              <w:tabs>
                <w:tab w:val="left" w:pos="1635"/>
                <w:tab w:val="center" w:pos="4806"/>
              </w:tabs>
              <w:jc w:val="center"/>
              <w:rPr>
                <w:rFonts w:ascii="Times New Roman" w:eastAsia="Times New Roman" w:hAnsi="Times New Roman" w:cs="Times New Roman"/>
                <w:b/>
              </w:rPr>
            </w:pPr>
            <w:r w:rsidRPr="00710B20">
              <w:rPr>
                <w:rFonts w:ascii="Times New Roman" w:eastAsia="Times New Roman" w:hAnsi="Times New Roman" w:cs="Times New Roman"/>
                <w:b/>
              </w:rPr>
              <w:t xml:space="preserve">NASDAQ – </w:t>
            </w:r>
            <w:proofErr w:type="spellStart"/>
            <w:r w:rsidRPr="00710B20">
              <w:rPr>
                <w:rFonts w:ascii="Times New Roman" w:eastAsia="Times New Roman" w:hAnsi="Times New Roman" w:cs="Times New Roman"/>
                <w:b/>
              </w:rPr>
              <w:t>ONEQ</w:t>
            </w:r>
            <w:proofErr w:type="spellEnd"/>
          </w:p>
        </w:tc>
      </w:tr>
      <w:tr w:rsidR="00710B20" w14:paraId="0B8ADC1B" w14:textId="77777777" w:rsidTr="00DA425D">
        <w:tc>
          <w:tcPr>
            <w:tcW w:w="1361" w:type="dxa"/>
          </w:tcPr>
          <w:p w14:paraId="30950857" w14:textId="77777777" w:rsidR="00710B20" w:rsidRDefault="00710B20" w:rsidP="00710B20">
            <w:pPr>
              <w:tabs>
                <w:tab w:val="left" w:pos="1635"/>
                <w:tab w:val="center" w:pos="4806"/>
              </w:tabs>
              <w:rPr>
                <w:rFonts w:ascii="Times New Roman" w:eastAsia="Times New Roman" w:hAnsi="Times New Roman" w:cs="Times New Roman"/>
                <w:bCs/>
              </w:rPr>
            </w:pPr>
            <w:r>
              <w:rPr>
                <w:rFonts w:ascii="Times New Roman" w:eastAsia="Times New Roman" w:hAnsi="Times New Roman" w:cs="Times New Roman"/>
                <w:bCs/>
              </w:rPr>
              <w:t>2019</w:t>
            </w:r>
          </w:p>
        </w:tc>
        <w:tc>
          <w:tcPr>
            <w:tcW w:w="3031" w:type="dxa"/>
          </w:tcPr>
          <w:p w14:paraId="606DCDB1" w14:textId="77777777" w:rsidR="00710B20" w:rsidRDefault="00710B20" w:rsidP="00710B20">
            <w:pPr>
              <w:tabs>
                <w:tab w:val="left" w:pos="1635"/>
                <w:tab w:val="center" w:pos="4806"/>
              </w:tabs>
              <w:jc w:val="center"/>
              <w:rPr>
                <w:rFonts w:ascii="Times New Roman" w:eastAsia="Times New Roman" w:hAnsi="Times New Roman" w:cs="Times New Roman"/>
                <w:bCs/>
              </w:rPr>
            </w:pPr>
            <w:r>
              <w:rPr>
                <w:rFonts w:ascii="Times New Roman" w:eastAsia="Times New Roman" w:hAnsi="Times New Roman" w:cs="Times New Roman"/>
                <w:bCs/>
              </w:rPr>
              <w:t>31.22%</w:t>
            </w:r>
          </w:p>
        </w:tc>
        <w:tc>
          <w:tcPr>
            <w:tcW w:w="3289" w:type="dxa"/>
          </w:tcPr>
          <w:p w14:paraId="6F78E234" w14:textId="77777777" w:rsidR="00710B20" w:rsidRDefault="00710B20" w:rsidP="00710B20">
            <w:pPr>
              <w:tabs>
                <w:tab w:val="left" w:pos="1635"/>
                <w:tab w:val="center" w:pos="4806"/>
              </w:tabs>
              <w:jc w:val="center"/>
              <w:rPr>
                <w:rFonts w:ascii="Times New Roman" w:eastAsia="Times New Roman" w:hAnsi="Times New Roman" w:cs="Times New Roman"/>
                <w:bCs/>
              </w:rPr>
            </w:pPr>
            <w:r>
              <w:rPr>
                <w:rFonts w:ascii="Times New Roman" w:eastAsia="Times New Roman" w:hAnsi="Times New Roman" w:cs="Times New Roman"/>
                <w:bCs/>
              </w:rPr>
              <w:t>37.15%</w:t>
            </w:r>
          </w:p>
        </w:tc>
      </w:tr>
      <w:tr w:rsidR="00710B20" w14:paraId="45CD5B37" w14:textId="77777777" w:rsidTr="00DA425D">
        <w:tc>
          <w:tcPr>
            <w:tcW w:w="1361" w:type="dxa"/>
          </w:tcPr>
          <w:p w14:paraId="692AAAFC" w14:textId="77777777" w:rsidR="00710B20" w:rsidRDefault="00710B20" w:rsidP="00710B20">
            <w:pPr>
              <w:tabs>
                <w:tab w:val="left" w:pos="1635"/>
                <w:tab w:val="center" w:pos="4806"/>
              </w:tabs>
              <w:rPr>
                <w:rFonts w:ascii="Times New Roman" w:eastAsia="Times New Roman" w:hAnsi="Times New Roman" w:cs="Times New Roman"/>
                <w:bCs/>
              </w:rPr>
            </w:pPr>
            <w:r>
              <w:rPr>
                <w:rFonts w:ascii="Times New Roman" w:eastAsia="Times New Roman" w:hAnsi="Times New Roman" w:cs="Times New Roman"/>
                <w:bCs/>
              </w:rPr>
              <w:t>2020</w:t>
            </w:r>
          </w:p>
        </w:tc>
        <w:tc>
          <w:tcPr>
            <w:tcW w:w="3031" w:type="dxa"/>
          </w:tcPr>
          <w:p w14:paraId="24EE61B6" w14:textId="77777777" w:rsidR="00710B20" w:rsidRDefault="00710B20" w:rsidP="00710B20">
            <w:pPr>
              <w:tabs>
                <w:tab w:val="left" w:pos="1635"/>
                <w:tab w:val="center" w:pos="4806"/>
              </w:tabs>
              <w:jc w:val="center"/>
              <w:rPr>
                <w:rFonts w:ascii="Times New Roman" w:eastAsia="Times New Roman" w:hAnsi="Times New Roman" w:cs="Times New Roman"/>
                <w:bCs/>
              </w:rPr>
            </w:pPr>
            <w:r>
              <w:rPr>
                <w:rFonts w:ascii="Times New Roman" w:eastAsia="Times New Roman" w:hAnsi="Times New Roman" w:cs="Times New Roman"/>
                <w:bCs/>
              </w:rPr>
              <w:t>18.37%</w:t>
            </w:r>
          </w:p>
        </w:tc>
        <w:tc>
          <w:tcPr>
            <w:tcW w:w="3289" w:type="dxa"/>
          </w:tcPr>
          <w:p w14:paraId="682746A0" w14:textId="77777777" w:rsidR="00710B20" w:rsidRDefault="00710B20" w:rsidP="00710B20">
            <w:pPr>
              <w:tabs>
                <w:tab w:val="left" w:pos="1635"/>
                <w:tab w:val="center" w:pos="4806"/>
              </w:tabs>
              <w:jc w:val="center"/>
              <w:rPr>
                <w:rFonts w:ascii="Times New Roman" w:eastAsia="Times New Roman" w:hAnsi="Times New Roman" w:cs="Times New Roman"/>
                <w:bCs/>
              </w:rPr>
            </w:pPr>
            <w:r>
              <w:rPr>
                <w:rFonts w:ascii="Times New Roman" w:eastAsia="Times New Roman" w:hAnsi="Times New Roman" w:cs="Times New Roman"/>
                <w:bCs/>
              </w:rPr>
              <w:t>44.89%</w:t>
            </w:r>
          </w:p>
        </w:tc>
      </w:tr>
      <w:tr w:rsidR="00710B20" w14:paraId="4E92CD71" w14:textId="77777777" w:rsidTr="00DA425D">
        <w:tc>
          <w:tcPr>
            <w:tcW w:w="1361" w:type="dxa"/>
          </w:tcPr>
          <w:p w14:paraId="723126D1" w14:textId="77777777" w:rsidR="00710B20" w:rsidRDefault="00710B20" w:rsidP="00710B20">
            <w:pPr>
              <w:tabs>
                <w:tab w:val="left" w:pos="1635"/>
                <w:tab w:val="center" w:pos="4806"/>
              </w:tabs>
              <w:rPr>
                <w:rFonts w:ascii="Times New Roman" w:eastAsia="Times New Roman" w:hAnsi="Times New Roman" w:cs="Times New Roman"/>
                <w:bCs/>
              </w:rPr>
            </w:pPr>
            <w:r>
              <w:rPr>
                <w:rFonts w:ascii="Times New Roman" w:eastAsia="Times New Roman" w:hAnsi="Times New Roman" w:cs="Times New Roman"/>
                <w:bCs/>
              </w:rPr>
              <w:t>2021</w:t>
            </w:r>
          </w:p>
        </w:tc>
        <w:tc>
          <w:tcPr>
            <w:tcW w:w="3031" w:type="dxa"/>
          </w:tcPr>
          <w:p w14:paraId="62AB17F6" w14:textId="77777777" w:rsidR="00710B20" w:rsidRDefault="00710B20" w:rsidP="00710B20">
            <w:pPr>
              <w:tabs>
                <w:tab w:val="left" w:pos="1635"/>
                <w:tab w:val="center" w:pos="4806"/>
              </w:tabs>
              <w:jc w:val="center"/>
              <w:rPr>
                <w:rFonts w:ascii="Times New Roman" w:eastAsia="Times New Roman" w:hAnsi="Times New Roman" w:cs="Times New Roman"/>
                <w:bCs/>
              </w:rPr>
            </w:pPr>
            <w:r>
              <w:rPr>
                <w:rFonts w:ascii="Times New Roman" w:eastAsia="Times New Roman" w:hAnsi="Times New Roman" w:cs="Times New Roman"/>
                <w:bCs/>
              </w:rPr>
              <w:t>28.75%</w:t>
            </w:r>
          </w:p>
        </w:tc>
        <w:tc>
          <w:tcPr>
            <w:tcW w:w="3289" w:type="dxa"/>
          </w:tcPr>
          <w:p w14:paraId="58C311E8" w14:textId="77777777" w:rsidR="00710B20" w:rsidRDefault="00710B20" w:rsidP="00710B20">
            <w:pPr>
              <w:tabs>
                <w:tab w:val="left" w:pos="1635"/>
                <w:tab w:val="center" w:pos="4806"/>
              </w:tabs>
              <w:jc w:val="center"/>
              <w:rPr>
                <w:rFonts w:ascii="Times New Roman" w:eastAsia="Times New Roman" w:hAnsi="Times New Roman" w:cs="Times New Roman"/>
                <w:bCs/>
              </w:rPr>
            </w:pPr>
            <w:r>
              <w:rPr>
                <w:rFonts w:ascii="Times New Roman" w:eastAsia="Times New Roman" w:hAnsi="Times New Roman" w:cs="Times New Roman"/>
                <w:bCs/>
              </w:rPr>
              <w:t>22.11%</w:t>
            </w:r>
          </w:p>
        </w:tc>
      </w:tr>
      <w:tr w:rsidR="00710B20" w14:paraId="7EBFB071" w14:textId="77777777" w:rsidTr="00DA425D">
        <w:tc>
          <w:tcPr>
            <w:tcW w:w="1361" w:type="dxa"/>
          </w:tcPr>
          <w:p w14:paraId="70E051EC" w14:textId="77777777" w:rsidR="00710B20" w:rsidRDefault="00710B20" w:rsidP="00710B20">
            <w:pPr>
              <w:tabs>
                <w:tab w:val="left" w:pos="1635"/>
                <w:tab w:val="center" w:pos="4806"/>
              </w:tabs>
              <w:rPr>
                <w:rFonts w:ascii="Times New Roman" w:eastAsia="Times New Roman" w:hAnsi="Times New Roman" w:cs="Times New Roman"/>
                <w:bCs/>
              </w:rPr>
            </w:pPr>
            <w:r>
              <w:rPr>
                <w:rFonts w:ascii="Times New Roman" w:eastAsia="Times New Roman" w:hAnsi="Times New Roman" w:cs="Times New Roman"/>
                <w:bCs/>
              </w:rPr>
              <w:t>2022</w:t>
            </w:r>
          </w:p>
        </w:tc>
        <w:tc>
          <w:tcPr>
            <w:tcW w:w="3031" w:type="dxa"/>
          </w:tcPr>
          <w:p w14:paraId="68B3BDD2" w14:textId="77777777" w:rsidR="00710B20" w:rsidRDefault="00710B20" w:rsidP="00710B20">
            <w:pPr>
              <w:tabs>
                <w:tab w:val="left" w:pos="1635"/>
                <w:tab w:val="center" w:pos="4806"/>
              </w:tabs>
              <w:jc w:val="center"/>
              <w:rPr>
                <w:rFonts w:ascii="Times New Roman" w:eastAsia="Times New Roman" w:hAnsi="Times New Roman" w:cs="Times New Roman"/>
                <w:bCs/>
              </w:rPr>
            </w:pPr>
            <w:r>
              <w:rPr>
                <w:rFonts w:ascii="Times New Roman" w:eastAsia="Times New Roman" w:hAnsi="Times New Roman" w:cs="Times New Roman"/>
                <w:bCs/>
              </w:rPr>
              <w:t>-18.17%</w:t>
            </w:r>
          </w:p>
        </w:tc>
        <w:tc>
          <w:tcPr>
            <w:tcW w:w="3289" w:type="dxa"/>
          </w:tcPr>
          <w:p w14:paraId="5286217E" w14:textId="77777777" w:rsidR="00710B20" w:rsidRDefault="00710B20" w:rsidP="00710B20">
            <w:pPr>
              <w:tabs>
                <w:tab w:val="left" w:pos="1635"/>
                <w:tab w:val="center" w:pos="4806"/>
              </w:tabs>
              <w:jc w:val="center"/>
              <w:rPr>
                <w:rFonts w:ascii="Times New Roman" w:eastAsia="Times New Roman" w:hAnsi="Times New Roman" w:cs="Times New Roman"/>
                <w:bCs/>
              </w:rPr>
            </w:pPr>
            <w:r>
              <w:rPr>
                <w:rFonts w:ascii="Times New Roman" w:eastAsia="Times New Roman" w:hAnsi="Times New Roman" w:cs="Times New Roman"/>
                <w:bCs/>
              </w:rPr>
              <w:t>-32.12%</w:t>
            </w:r>
          </w:p>
        </w:tc>
      </w:tr>
      <w:tr w:rsidR="00710B20" w14:paraId="740BE88A" w14:textId="77777777" w:rsidTr="00DA425D">
        <w:tc>
          <w:tcPr>
            <w:tcW w:w="1361" w:type="dxa"/>
          </w:tcPr>
          <w:p w14:paraId="1AE0DECE" w14:textId="77777777" w:rsidR="00710B20" w:rsidRDefault="00710B20" w:rsidP="00710B20">
            <w:pPr>
              <w:tabs>
                <w:tab w:val="left" w:pos="1635"/>
                <w:tab w:val="center" w:pos="4806"/>
              </w:tabs>
              <w:rPr>
                <w:rFonts w:ascii="Times New Roman" w:eastAsia="Times New Roman" w:hAnsi="Times New Roman" w:cs="Times New Roman"/>
                <w:bCs/>
              </w:rPr>
            </w:pPr>
            <w:r>
              <w:rPr>
                <w:rFonts w:ascii="Times New Roman" w:eastAsia="Times New Roman" w:hAnsi="Times New Roman" w:cs="Times New Roman"/>
                <w:bCs/>
              </w:rPr>
              <w:t>2023</w:t>
            </w:r>
          </w:p>
        </w:tc>
        <w:tc>
          <w:tcPr>
            <w:tcW w:w="3031" w:type="dxa"/>
          </w:tcPr>
          <w:p w14:paraId="3FD05323" w14:textId="77777777" w:rsidR="00710B20" w:rsidRDefault="00710B20" w:rsidP="00710B20">
            <w:pPr>
              <w:tabs>
                <w:tab w:val="left" w:pos="1635"/>
                <w:tab w:val="center" w:pos="4806"/>
              </w:tabs>
              <w:jc w:val="center"/>
              <w:rPr>
                <w:rFonts w:ascii="Times New Roman" w:eastAsia="Times New Roman" w:hAnsi="Times New Roman" w:cs="Times New Roman"/>
                <w:bCs/>
              </w:rPr>
            </w:pPr>
            <w:r>
              <w:rPr>
                <w:rFonts w:ascii="Times New Roman" w:eastAsia="Times New Roman" w:hAnsi="Times New Roman" w:cs="Times New Roman"/>
                <w:bCs/>
              </w:rPr>
              <w:t>26.19%</w:t>
            </w:r>
          </w:p>
        </w:tc>
        <w:tc>
          <w:tcPr>
            <w:tcW w:w="3289" w:type="dxa"/>
          </w:tcPr>
          <w:p w14:paraId="36123870" w14:textId="77777777" w:rsidR="00710B20" w:rsidRDefault="00710B20" w:rsidP="00710B20">
            <w:pPr>
              <w:tabs>
                <w:tab w:val="left" w:pos="1635"/>
                <w:tab w:val="center" w:pos="4806"/>
              </w:tabs>
              <w:jc w:val="center"/>
              <w:rPr>
                <w:rFonts w:ascii="Times New Roman" w:eastAsia="Times New Roman" w:hAnsi="Times New Roman" w:cs="Times New Roman"/>
                <w:bCs/>
              </w:rPr>
            </w:pPr>
            <w:r>
              <w:rPr>
                <w:rFonts w:ascii="Times New Roman" w:eastAsia="Times New Roman" w:hAnsi="Times New Roman" w:cs="Times New Roman"/>
                <w:bCs/>
              </w:rPr>
              <w:t>45.74%</w:t>
            </w:r>
          </w:p>
        </w:tc>
      </w:tr>
      <w:tr w:rsidR="00710B20" w14:paraId="120B134A" w14:textId="77777777" w:rsidTr="00DA425D">
        <w:tc>
          <w:tcPr>
            <w:tcW w:w="1361" w:type="dxa"/>
          </w:tcPr>
          <w:p w14:paraId="07E4FDC2" w14:textId="77777777" w:rsidR="00710B20" w:rsidRDefault="00710B20" w:rsidP="00710B20">
            <w:pPr>
              <w:tabs>
                <w:tab w:val="left" w:pos="1635"/>
                <w:tab w:val="center" w:pos="4806"/>
              </w:tabs>
              <w:rPr>
                <w:rFonts w:ascii="Times New Roman" w:eastAsia="Times New Roman" w:hAnsi="Times New Roman" w:cs="Times New Roman"/>
                <w:bCs/>
              </w:rPr>
            </w:pPr>
            <w:r>
              <w:rPr>
                <w:rFonts w:ascii="Times New Roman" w:eastAsia="Times New Roman" w:hAnsi="Times New Roman" w:cs="Times New Roman"/>
                <w:bCs/>
              </w:rPr>
              <w:t>2024 YTD</w:t>
            </w:r>
          </w:p>
        </w:tc>
        <w:tc>
          <w:tcPr>
            <w:tcW w:w="3031" w:type="dxa"/>
          </w:tcPr>
          <w:p w14:paraId="76E7A642" w14:textId="77777777" w:rsidR="00710B20" w:rsidRDefault="00710B20" w:rsidP="00710B20">
            <w:pPr>
              <w:tabs>
                <w:tab w:val="left" w:pos="1635"/>
                <w:tab w:val="center" w:pos="4806"/>
              </w:tabs>
              <w:jc w:val="center"/>
              <w:rPr>
                <w:rFonts w:ascii="Times New Roman" w:eastAsia="Times New Roman" w:hAnsi="Times New Roman" w:cs="Times New Roman"/>
                <w:bCs/>
              </w:rPr>
            </w:pPr>
            <w:r>
              <w:rPr>
                <w:rFonts w:ascii="Times New Roman" w:eastAsia="Times New Roman" w:hAnsi="Times New Roman" w:cs="Times New Roman"/>
                <w:bCs/>
              </w:rPr>
              <w:t>29.09%</w:t>
            </w:r>
          </w:p>
        </w:tc>
        <w:tc>
          <w:tcPr>
            <w:tcW w:w="3289" w:type="dxa"/>
          </w:tcPr>
          <w:p w14:paraId="2FE22751" w14:textId="77777777" w:rsidR="00710B20" w:rsidRDefault="00710B20" w:rsidP="00710B20">
            <w:pPr>
              <w:tabs>
                <w:tab w:val="left" w:pos="1635"/>
                <w:tab w:val="center" w:pos="4806"/>
              </w:tabs>
              <w:jc w:val="center"/>
              <w:rPr>
                <w:rFonts w:ascii="Times New Roman" w:eastAsia="Times New Roman" w:hAnsi="Times New Roman" w:cs="Times New Roman"/>
                <w:bCs/>
              </w:rPr>
            </w:pPr>
            <w:r>
              <w:rPr>
                <w:rFonts w:ascii="Times New Roman" w:eastAsia="Times New Roman" w:hAnsi="Times New Roman" w:cs="Times New Roman"/>
                <w:bCs/>
              </w:rPr>
              <w:t>32.87%</w:t>
            </w:r>
          </w:p>
        </w:tc>
      </w:tr>
    </w:tbl>
    <w:p w14:paraId="2D88BBD1" w14:textId="24455843" w:rsidR="00710B20" w:rsidRPr="00710B20" w:rsidRDefault="00710B20" w:rsidP="00710B20">
      <w:pPr>
        <w:tabs>
          <w:tab w:val="left" w:pos="1635"/>
          <w:tab w:val="center" w:pos="4806"/>
        </w:tabs>
        <w:spacing w:after="0" w:line="240" w:lineRule="auto"/>
        <w:ind w:firstLine="720"/>
        <w:rPr>
          <w:rFonts w:ascii="Times New Roman" w:eastAsia="Times New Roman" w:hAnsi="Times New Roman" w:cs="Times New Roman"/>
          <w:b/>
          <w:sz w:val="16"/>
          <w:szCs w:val="16"/>
        </w:rPr>
      </w:pPr>
      <w:r w:rsidRPr="00710B20">
        <w:rPr>
          <w:rFonts w:ascii="Times New Roman" w:eastAsia="Times New Roman" w:hAnsi="Times New Roman" w:cs="Times New Roman"/>
          <w:b/>
          <w:sz w:val="16"/>
          <w:szCs w:val="16"/>
        </w:rPr>
        <w:t xml:space="preserve">    </w:t>
      </w:r>
      <w:r>
        <w:rPr>
          <w:rFonts w:ascii="Times New Roman" w:eastAsia="Times New Roman" w:hAnsi="Times New Roman" w:cs="Times New Roman"/>
          <w:b/>
          <w:sz w:val="16"/>
          <w:szCs w:val="16"/>
        </w:rPr>
        <w:t xml:space="preserve">  Sour</w:t>
      </w:r>
      <w:r w:rsidRPr="00710B20">
        <w:rPr>
          <w:rFonts w:ascii="Times New Roman" w:eastAsia="Times New Roman" w:hAnsi="Times New Roman" w:cs="Times New Roman"/>
          <w:b/>
          <w:sz w:val="16"/>
          <w:szCs w:val="16"/>
        </w:rPr>
        <w:t>ce  Morningstar</w:t>
      </w:r>
    </w:p>
    <w:p w14:paraId="2E421C5F" w14:textId="77777777" w:rsidR="00710B20" w:rsidRDefault="00710B20" w:rsidP="00710B20">
      <w:pPr>
        <w:tabs>
          <w:tab w:val="left" w:pos="1635"/>
          <w:tab w:val="center" w:pos="4806"/>
        </w:tabs>
        <w:spacing w:after="0" w:line="240" w:lineRule="auto"/>
        <w:ind w:firstLine="720"/>
        <w:rPr>
          <w:rFonts w:ascii="Times New Roman" w:eastAsia="Times New Roman" w:hAnsi="Times New Roman" w:cs="Times New Roman"/>
          <w:bCs/>
        </w:rPr>
      </w:pPr>
    </w:p>
    <w:p w14:paraId="7E2B03F7" w14:textId="7BD98555" w:rsidR="00710B20" w:rsidRDefault="00710B20" w:rsidP="00710B20">
      <w:pPr>
        <w:tabs>
          <w:tab w:val="left" w:pos="1635"/>
          <w:tab w:val="center" w:pos="4806"/>
        </w:tabs>
        <w:spacing w:after="0" w:line="240" w:lineRule="auto"/>
        <w:ind w:firstLine="720"/>
        <w:rPr>
          <w:rFonts w:ascii="Times New Roman" w:eastAsia="Times New Roman" w:hAnsi="Times New Roman" w:cs="Times New Roman"/>
          <w:bCs/>
        </w:rPr>
      </w:pPr>
      <w:r>
        <w:rPr>
          <w:rFonts w:ascii="Times New Roman" w:eastAsia="Times New Roman" w:hAnsi="Times New Roman" w:cs="Times New Roman"/>
          <w:bCs/>
        </w:rPr>
        <w:t xml:space="preserve">Just </w:t>
      </w:r>
      <w:proofErr w:type="gramStart"/>
      <w:r>
        <w:rPr>
          <w:rFonts w:ascii="Times New Roman" w:eastAsia="Times New Roman" w:hAnsi="Times New Roman" w:cs="Times New Roman"/>
          <w:bCs/>
        </w:rPr>
        <w:t>take a look</w:t>
      </w:r>
      <w:proofErr w:type="gramEnd"/>
      <w:r>
        <w:rPr>
          <w:rFonts w:ascii="Times New Roman" w:eastAsia="Times New Roman" w:hAnsi="Times New Roman" w:cs="Times New Roman"/>
          <w:bCs/>
        </w:rPr>
        <w:t xml:space="preserve"> at these numbers. They are amazing!</w:t>
      </w:r>
    </w:p>
    <w:p w14:paraId="56D67D57" w14:textId="3293A9FD" w:rsidR="00710B20" w:rsidRDefault="00710B20" w:rsidP="00710B20">
      <w:pPr>
        <w:tabs>
          <w:tab w:val="left" w:pos="1635"/>
          <w:tab w:val="center" w:pos="4806"/>
        </w:tabs>
        <w:spacing w:after="0" w:line="240" w:lineRule="auto"/>
        <w:ind w:firstLine="720"/>
        <w:rPr>
          <w:rFonts w:ascii="Times New Roman" w:eastAsia="Times New Roman" w:hAnsi="Times New Roman" w:cs="Times New Roman"/>
          <w:bCs/>
        </w:rPr>
      </w:pPr>
      <w:r>
        <w:rPr>
          <w:rFonts w:ascii="Times New Roman" w:eastAsia="Times New Roman" w:hAnsi="Times New Roman" w:cs="Times New Roman"/>
          <w:bCs/>
        </w:rPr>
        <w:t xml:space="preserve">Throughout my </w:t>
      </w:r>
      <w:r w:rsidR="00777CE0">
        <w:rPr>
          <w:rFonts w:ascii="Times New Roman" w:eastAsia="Times New Roman" w:hAnsi="Times New Roman" w:cs="Times New Roman"/>
          <w:bCs/>
        </w:rPr>
        <w:t>46-year</w:t>
      </w:r>
      <w:r>
        <w:rPr>
          <w:rFonts w:ascii="Times New Roman" w:eastAsia="Times New Roman" w:hAnsi="Times New Roman" w:cs="Times New Roman"/>
          <w:bCs/>
        </w:rPr>
        <w:t xml:space="preserve"> career, I have read that </w:t>
      </w:r>
      <w:r w:rsidR="00777CE0">
        <w:rPr>
          <w:rFonts w:ascii="Times New Roman" w:eastAsia="Times New Roman" w:hAnsi="Times New Roman" w:cs="Times New Roman"/>
          <w:bCs/>
        </w:rPr>
        <w:t>long-term</w:t>
      </w:r>
      <w:r>
        <w:rPr>
          <w:rFonts w:ascii="Times New Roman" w:eastAsia="Times New Roman" w:hAnsi="Times New Roman" w:cs="Times New Roman"/>
          <w:bCs/>
        </w:rPr>
        <w:t xml:space="preserve"> stock market returns were in the 7% - 9% range.</w:t>
      </w:r>
    </w:p>
    <w:p w14:paraId="0B3E82FB" w14:textId="04575ED4" w:rsidR="00710B20" w:rsidRDefault="00710B20" w:rsidP="00710B20">
      <w:pPr>
        <w:tabs>
          <w:tab w:val="left" w:pos="1635"/>
          <w:tab w:val="center" w:pos="4806"/>
        </w:tabs>
        <w:spacing w:after="0" w:line="240" w:lineRule="auto"/>
        <w:ind w:firstLine="720"/>
        <w:rPr>
          <w:rFonts w:ascii="Times New Roman" w:eastAsia="Times New Roman" w:hAnsi="Times New Roman" w:cs="Times New Roman"/>
          <w:bCs/>
        </w:rPr>
      </w:pPr>
      <w:r>
        <w:rPr>
          <w:rFonts w:ascii="Times New Roman" w:eastAsia="Times New Roman" w:hAnsi="Times New Roman" w:cs="Times New Roman"/>
          <w:bCs/>
        </w:rPr>
        <w:t>Do you see an</w:t>
      </w:r>
      <w:r w:rsidR="00F5758E">
        <w:rPr>
          <w:rFonts w:ascii="Times New Roman" w:eastAsia="Times New Roman" w:hAnsi="Times New Roman" w:cs="Times New Roman"/>
          <w:bCs/>
        </w:rPr>
        <w:t>y</w:t>
      </w:r>
      <w:r>
        <w:rPr>
          <w:rFonts w:ascii="Times New Roman" w:eastAsia="Times New Roman" w:hAnsi="Times New Roman" w:cs="Times New Roman"/>
          <w:bCs/>
        </w:rPr>
        <w:t xml:space="preserve"> 7% -9% numbers? </w:t>
      </w:r>
      <w:r w:rsidR="00DA425D">
        <w:rPr>
          <w:rFonts w:ascii="Times New Roman" w:eastAsia="Times New Roman" w:hAnsi="Times New Roman" w:cs="Times New Roman"/>
          <w:bCs/>
        </w:rPr>
        <w:t>No,</w:t>
      </w:r>
      <w:r>
        <w:rPr>
          <w:rFonts w:ascii="Times New Roman" w:eastAsia="Times New Roman" w:hAnsi="Times New Roman" w:cs="Times New Roman"/>
          <w:bCs/>
        </w:rPr>
        <w:t xml:space="preserve"> you do not.</w:t>
      </w:r>
    </w:p>
    <w:p w14:paraId="3007458A" w14:textId="6F480CD8" w:rsidR="00B8702F" w:rsidRDefault="00B8702F" w:rsidP="00710B20">
      <w:pPr>
        <w:tabs>
          <w:tab w:val="left" w:pos="1635"/>
          <w:tab w:val="center" w:pos="4806"/>
        </w:tabs>
        <w:spacing w:after="0" w:line="240" w:lineRule="auto"/>
        <w:ind w:firstLine="720"/>
        <w:rPr>
          <w:rFonts w:ascii="Times New Roman" w:eastAsia="Times New Roman" w:hAnsi="Times New Roman" w:cs="Times New Roman"/>
          <w:bCs/>
        </w:rPr>
      </w:pPr>
      <w:r>
        <w:rPr>
          <w:rFonts w:ascii="Times New Roman" w:eastAsia="Times New Roman" w:hAnsi="Times New Roman" w:cs="Times New Roman"/>
          <w:bCs/>
        </w:rPr>
        <w:t xml:space="preserve">Even with the </w:t>
      </w:r>
      <w:r w:rsidR="0077579D">
        <w:rPr>
          <w:rFonts w:ascii="Times New Roman" w:eastAsia="Times New Roman" w:hAnsi="Times New Roman" w:cs="Times New Roman"/>
          <w:bCs/>
        </w:rPr>
        <w:t>2022</w:t>
      </w:r>
      <w:r>
        <w:rPr>
          <w:rFonts w:ascii="Times New Roman" w:eastAsia="Times New Roman" w:hAnsi="Times New Roman" w:cs="Times New Roman"/>
          <w:bCs/>
        </w:rPr>
        <w:t xml:space="preserve"> experience, equity investors have enjoyed terrific returns.</w:t>
      </w:r>
    </w:p>
    <w:p w14:paraId="139F5641" w14:textId="7558B82A" w:rsidR="00710B20" w:rsidRDefault="00B8702F" w:rsidP="00710B20">
      <w:pPr>
        <w:tabs>
          <w:tab w:val="left" w:pos="1635"/>
          <w:tab w:val="center" w:pos="4806"/>
        </w:tabs>
        <w:spacing w:after="0" w:line="240" w:lineRule="auto"/>
        <w:ind w:firstLine="720"/>
        <w:rPr>
          <w:rFonts w:ascii="Times New Roman" w:eastAsia="Times New Roman" w:hAnsi="Times New Roman" w:cs="Times New Roman"/>
          <w:bCs/>
        </w:rPr>
      </w:pPr>
      <w:r>
        <w:rPr>
          <w:rFonts w:ascii="Times New Roman" w:eastAsia="Times New Roman" w:hAnsi="Times New Roman" w:cs="Times New Roman"/>
          <w:bCs/>
        </w:rPr>
        <w:t xml:space="preserve">And </w:t>
      </w:r>
      <w:r w:rsidR="00473AD1">
        <w:rPr>
          <w:rFonts w:ascii="Times New Roman" w:eastAsia="Times New Roman" w:hAnsi="Times New Roman" w:cs="Times New Roman"/>
          <w:bCs/>
        </w:rPr>
        <w:t>t</w:t>
      </w:r>
      <w:r>
        <w:rPr>
          <w:rFonts w:ascii="Times New Roman" w:eastAsia="Times New Roman" w:hAnsi="Times New Roman" w:cs="Times New Roman"/>
          <w:bCs/>
        </w:rPr>
        <w:t xml:space="preserve">his has all occurred during a period we often </w:t>
      </w:r>
      <w:r w:rsidR="00710B20">
        <w:rPr>
          <w:rFonts w:ascii="Times New Roman" w:eastAsia="Times New Roman" w:hAnsi="Times New Roman" w:cs="Times New Roman"/>
          <w:bCs/>
        </w:rPr>
        <w:t xml:space="preserve">read </w:t>
      </w:r>
      <w:r w:rsidR="002805BD">
        <w:rPr>
          <w:rFonts w:ascii="Times New Roman" w:eastAsia="Times New Roman" w:hAnsi="Times New Roman" w:cs="Times New Roman"/>
          <w:bCs/>
        </w:rPr>
        <w:t xml:space="preserve">is </w:t>
      </w:r>
      <w:r w:rsidR="00710B20">
        <w:rPr>
          <w:rFonts w:ascii="Times New Roman" w:eastAsia="Times New Roman" w:hAnsi="Times New Roman" w:cs="Times New Roman"/>
          <w:bCs/>
        </w:rPr>
        <w:t xml:space="preserve">described as </w:t>
      </w:r>
      <w:r w:rsidR="00DA425D">
        <w:rPr>
          <w:rFonts w:ascii="Times New Roman" w:eastAsia="Times New Roman" w:hAnsi="Times New Roman" w:cs="Times New Roman"/>
          <w:bCs/>
        </w:rPr>
        <w:t>polarized and uncertain.</w:t>
      </w:r>
    </w:p>
    <w:p w14:paraId="40BC729E" w14:textId="0D764E4B" w:rsidR="00DA425D" w:rsidRDefault="00DA425D" w:rsidP="00710B20">
      <w:pPr>
        <w:tabs>
          <w:tab w:val="left" w:pos="1635"/>
          <w:tab w:val="center" w:pos="4806"/>
        </w:tabs>
        <w:spacing w:after="0" w:line="240" w:lineRule="auto"/>
        <w:ind w:firstLine="720"/>
        <w:rPr>
          <w:rFonts w:ascii="Times New Roman" w:eastAsia="Times New Roman" w:hAnsi="Times New Roman" w:cs="Times New Roman"/>
          <w:bCs/>
        </w:rPr>
      </w:pPr>
      <w:r>
        <w:rPr>
          <w:rFonts w:ascii="Times New Roman" w:eastAsia="Times New Roman" w:hAnsi="Times New Roman" w:cs="Times New Roman"/>
          <w:bCs/>
        </w:rPr>
        <w:t xml:space="preserve">Now let’s review what has occurred in the bond market during the same period. </w:t>
      </w:r>
      <w:r w:rsidR="00C41D30">
        <w:rPr>
          <w:rFonts w:ascii="Times New Roman" w:eastAsia="Times New Roman" w:hAnsi="Times New Roman" w:cs="Times New Roman"/>
          <w:bCs/>
        </w:rPr>
        <w:t>Again,</w:t>
      </w:r>
      <w:r>
        <w:rPr>
          <w:rFonts w:ascii="Times New Roman" w:eastAsia="Times New Roman" w:hAnsi="Times New Roman" w:cs="Times New Roman"/>
          <w:bCs/>
        </w:rPr>
        <w:t xml:space="preserve"> I am using an </w:t>
      </w:r>
      <w:r w:rsidR="00777CE0">
        <w:rPr>
          <w:rFonts w:ascii="Times New Roman" w:eastAsia="Times New Roman" w:hAnsi="Times New Roman" w:cs="Times New Roman"/>
          <w:bCs/>
        </w:rPr>
        <w:t>ETF</w:t>
      </w:r>
      <w:r>
        <w:rPr>
          <w:rFonts w:ascii="Times New Roman" w:eastAsia="Times New Roman" w:hAnsi="Times New Roman" w:cs="Times New Roman"/>
          <w:bCs/>
        </w:rPr>
        <w:t xml:space="preserve"> available to all investors.</w:t>
      </w:r>
    </w:p>
    <w:p w14:paraId="659138C7" w14:textId="77777777" w:rsidR="00DA425D" w:rsidRPr="00DA425D" w:rsidRDefault="00DA425D" w:rsidP="00710B20">
      <w:pPr>
        <w:tabs>
          <w:tab w:val="left" w:pos="1635"/>
          <w:tab w:val="center" w:pos="4806"/>
        </w:tabs>
        <w:spacing w:after="0" w:line="240" w:lineRule="auto"/>
        <w:ind w:firstLine="720"/>
        <w:rPr>
          <w:rFonts w:ascii="Times New Roman" w:eastAsia="Times New Roman" w:hAnsi="Times New Roman" w:cs="Times New Roman"/>
          <w:b/>
        </w:rPr>
      </w:pPr>
    </w:p>
    <w:p w14:paraId="119BE2CC" w14:textId="3756A5DE" w:rsidR="00DA425D" w:rsidRPr="00DA425D" w:rsidRDefault="00DA425D" w:rsidP="00DA425D">
      <w:pPr>
        <w:tabs>
          <w:tab w:val="left" w:pos="1635"/>
          <w:tab w:val="center" w:pos="4806"/>
        </w:tabs>
        <w:spacing w:after="0" w:line="240" w:lineRule="auto"/>
        <w:ind w:firstLine="720"/>
        <w:rPr>
          <w:rFonts w:ascii="Times New Roman" w:eastAsia="Times New Roman" w:hAnsi="Times New Roman" w:cs="Times New Roman"/>
          <w:b/>
        </w:rPr>
      </w:pPr>
      <w:r>
        <w:rPr>
          <w:rFonts w:ascii="Times New Roman" w:eastAsia="Times New Roman" w:hAnsi="Times New Roman" w:cs="Times New Roman"/>
          <w:b/>
        </w:rPr>
        <w:t xml:space="preserve">                                           </w:t>
      </w:r>
      <w:r w:rsidRPr="00DA425D">
        <w:rPr>
          <w:rFonts w:ascii="Times New Roman" w:eastAsia="Times New Roman" w:hAnsi="Times New Roman" w:cs="Times New Roman"/>
          <w:b/>
        </w:rPr>
        <w:t>U.S. Aggregate Bond/AGG</w:t>
      </w:r>
    </w:p>
    <w:p w14:paraId="3D15AD1A" w14:textId="77777777" w:rsidR="00DA425D" w:rsidRDefault="00DA425D" w:rsidP="00710B20">
      <w:pPr>
        <w:tabs>
          <w:tab w:val="left" w:pos="1635"/>
          <w:tab w:val="center" w:pos="4806"/>
        </w:tabs>
        <w:spacing w:after="0" w:line="240" w:lineRule="auto"/>
        <w:ind w:firstLine="720"/>
        <w:rPr>
          <w:rFonts w:ascii="Times New Roman" w:eastAsia="Times New Roman" w:hAnsi="Times New Roman" w:cs="Times New Roman"/>
          <w:bCs/>
        </w:rPr>
      </w:pPr>
    </w:p>
    <w:tbl>
      <w:tblPr>
        <w:tblStyle w:val="TableGrid"/>
        <w:tblW w:w="0" w:type="auto"/>
        <w:tblInd w:w="3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1"/>
        <w:gridCol w:w="1156"/>
      </w:tblGrid>
      <w:tr w:rsidR="00DA425D" w14:paraId="3C513E98" w14:textId="77777777" w:rsidTr="00D76F87">
        <w:tc>
          <w:tcPr>
            <w:tcW w:w="1361" w:type="dxa"/>
          </w:tcPr>
          <w:p w14:paraId="37AE09DE" w14:textId="1ED9657E" w:rsidR="00DA425D" w:rsidRDefault="00DA425D" w:rsidP="00710B20">
            <w:pPr>
              <w:tabs>
                <w:tab w:val="left" w:pos="1635"/>
                <w:tab w:val="center" w:pos="4806"/>
              </w:tabs>
              <w:rPr>
                <w:rFonts w:ascii="Times New Roman" w:eastAsia="Times New Roman" w:hAnsi="Times New Roman" w:cs="Times New Roman"/>
                <w:bCs/>
              </w:rPr>
            </w:pPr>
            <w:r>
              <w:rPr>
                <w:rFonts w:ascii="Times New Roman" w:eastAsia="Times New Roman" w:hAnsi="Times New Roman" w:cs="Times New Roman"/>
                <w:bCs/>
              </w:rPr>
              <w:t>2019</w:t>
            </w:r>
          </w:p>
        </w:tc>
        <w:tc>
          <w:tcPr>
            <w:tcW w:w="1156" w:type="dxa"/>
          </w:tcPr>
          <w:p w14:paraId="2ABD5421" w14:textId="7C8BA217" w:rsidR="00DA425D" w:rsidRDefault="00DA425D" w:rsidP="00DA425D">
            <w:pPr>
              <w:tabs>
                <w:tab w:val="left" w:pos="1635"/>
                <w:tab w:val="center" w:pos="4806"/>
              </w:tabs>
              <w:jc w:val="center"/>
              <w:rPr>
                <w:rFonts w:ascii="Times New Roman" w:eastAsia="Times New Roman" w:hAnsi="Times New Roman" w:cs="Times New Roman"/>
                <w:bCs/>
              </w:rPr>
            </w:pPr>
            <w:r>
              <w:rPr>
                <w:rFonts w:ascii="Times New Roman" w:eastAsia="Times New Roman" w:hAnsi="Times New Roman" w:cs="Times New Roman"/>
                <w:bCs/>
              </w:rPr>
              <w:t xml:space="preserve">  8.46%</w:t>
            </w:r>
          </w:p>
        </w:tc>
      </w:tr>
      <w:tr w:rsidR="00DA425D" w14:paraId="4F4D5C1B" w14:textId="77777777" w:rsidTr="00D76F87">
        <w:tc>
          <w:tcPr>
            <w:tcW w:w="1361" w:type="dxa"/>
          </w:tcPr>
          <w:p w14:paraId="13DB276F" w14:textId="5D91AA51" w:rsidR="00DA425D" w:rsidRDefault="00DA425D" w:rsidP="00710B20">
            <w:pPr>
              <w:tabs>
                <w:tab w:val="left" w:pos="1635"/>
                <w:tab w:val="center" w:pos="4806"/>
              </w:tabs>
              <w:rPr>
                <w:rFonts w:ascii="Times New Roman" w:eastAsia="Times New Roman" w:hAnsi="Times New Roman" w:cs="Times New Roman"/>
                <w:bCs/>
              </w:rPr>
            </w:pPr>
            <w:r>
              <w:rPr>
                <w:rFonts w:ascii="Times New Roman" w:eastAsia="Times New Roman" w:hAnsi="Times New Roman" w:cs="Times New Roman"/>
                <w:bCs/>
              </w:rPr>
              <w:t>2020</w:t>
            </w:r>
          </w:p>
        </w:tc>
        <w:tc>
          <w:tcPr>
            <w:tcW w:w="1156" w:type="dxa"/>
          </w:tcPr>
          <w:p w14:paraId="59849B79" w14:textId="160FF08A" w:rsidR="00DA425D" w:rsidRDefault="00DA425D" w:rsidP="00DA425D">
            <w:pPr>
              <w:tabs>
                <w:tab w:val="left" w:pos="1635"/>
                <w:tab w:val="center" w:pos="4806"/>
              </w:tabs>
              <w:jc w:val="center"/>
              <w:rPr>
                <w:rFonts w:ascii="Times New Roman" w:eastAsia="Times New Roman" w:hAnsi="Times New Roman" w:cs="Times New Roman"/>
                <w:bCs/>
              </w:rPr>
            </w:pPr>
            <w:r>
              <w:rPr>
                <w:rFonts w:ascii="Times New Roman" w:eastAsia="Times New Roman" w:hAnsi="Times New Roman" w:cs="Times New Roman"/>
                <w:bCs/>
              </w:rPr>
              <w:t xml:space="preserve">  7.48%</w:t>
            </w:r>
          </w:p>
        </w:tc>
      </w:tr>
      <w:tr w:rsidR="00DA425D" w14:paraId="751F706C" w14:textId="77777777" w:rsidTr="00D76F87">
        <w:tc>
          <w:tcPr>
            <w:tcW w:w="1361" w:type="dxa"/>
          </w:tcPr>
          <w:p w14:paraId="65D347E8" w14:textId="69B11D96" w:rsidR="00DA425D" w:rsidRDefault="00DA425D" w:rsidP="00710B20">
            <w:pPr>
              <w:tabs>
                <w:tab w:val="left" w:pos="1635"/>
                <w:tab w:val="center" w:pos="4806"/>
              </w:tabs>
              <w:rPr>
                <w:rFonts w:ascii="Times New Roman" w:eastAsia="Times New Roman" w:hAnsi="Times New Roman" w:cs="Times New Roman"/>
                <w:bCs/>
              </w:rPr>
            </w:pPr>
            <w:r>
              <w:rPr>
                <w:rFonts w:ascii="Times New Roman" w:eastAsia="Times New Roman" w:hAnsi="Times New Roman" w:cs="Times New Roman"/>
                <w:bCs/>
              </w:rPr>
              <w:t>2021</w:t>
            </w:r>
          </w:p>
        </w:tc>
        <w:tc>
          <w:tcPr>
            <w:tcW w:w="1156" w:type="dxa"/>
          </w:tcPr>
          <w:p w14:paraId="757A6FC9" w14:textId="3DE5057A" w:rsidR="00DA425D" w:rsidRDefault="00DA425D" w:rsidP="00DA425D">
            <w:pPr>
              <w:tabs>
                <w:tab w:val="left" w:pos="1635"/>
                <w:tab w:val="center" w:pos="4806"/>
              </w:tabs>
              <w:jc w:val="center"/>
              <w:rPr>
                <w:rFonts w:ascii="Times New Roman" w:eastAsia="Times New Roman" w:hAnsi="Times New Roman" w:cs="Times New Roman"/>
                <w:bCs/>
              </w:rPr>
            </w:pPr>
            <w:r>
              <w:rPr>
                <w:rFonts w:ascii="Times New Roman" w:eastAsia="Times New Roman" w:hAnsi="Times New Roman" w:cs="Times New Roman"/>
                <w:bCs/>
              </w:rPr>
              <w:t xml:space="preserve">  -1.77%</w:t>
            </w:r>
          </w:p>
        </w:tc>
      </w:tr>
      <w:tr w:rsidR="00DA425D" w14:paraId="2123C39C" w14:textId="77777777" w:rsidTr="00D76F87">
        <w:tc>
          <w:tcPr>
            <w:tcW w:w="1361" w:type="dxa"/>
          </w:tcPr>
          <w:p w14:paraId="5228C98F" w14:textId="0D526BD0" w:rsidR="00DA425D" w:rsidRDefault="00DA425D" w:rsidP="00710B20">
            <w:pPr>
              <w:tabs>
                <w:tab w:val="left" w:pos="1635"/>
                <w:tab w:val="center" w:pos="4806"/>
              </w:tabs>
              <w:rPr>
                <w:rFonts w:ascii="Times New Roman" w:eastAsia="Times New Roman" w:hAnsi="Times New Roman" w:cs="Times New Roman"/>
                <w:bCs/>
              </w:rPr>
            </w:pPr>
            <w:r>
              <w:rPr>
                <w:rFonts w:ascii="Times New Roman" w:eastAsia="Times New Roman" w:hAnsi="Times New Roman" w:cs="Times New Roman"/>
                <w:bCs/>
              </w:rPr>
              <w:t>2022</w:t>
            </w:r>
          </w:p>
        </w:tc>
        <w:tc>
          <w:tcPr>
            <w:tcW w:w="1156" w:type="dxa"/>
          </w:tcPr>
          <w:p w14:paraId="01C94334" w14:textId="5A3D4953" w:rsidR="00DA425D" w:rsidRDefault="00DA425D" w:rsidP="00DA425D">
            <w:pPr>
              <w:tabs>
                <w:tab w:val="left" w:pos="1635"/>
                <w:tab w:val="center" w:pos="4806"/>
              </w:tabs>
              <w:jc w:val="center"/>
              <w:rPr>
                <w:rFonts w:ascii="Times New Roman" w:eastAsia="Times New Roman" w:hAnsi="Times New Roman" w:cs="Times New Roman"/>
                <w:bCs/>
              </w:rPr>
            </w:pPr>
            <w:r>
              <w:rPr>
                <w:rFonts w:ascii="Times New Roman" w:eastAsia="Times New Roman" w:hAnsi="Times New Roman" w:cs="Times New Roman"/>
                <w:bCs/>
              </w:rPr>
              <w:t>-13.02%</w:t>
            </w:r>
          </w:p>
        </w:tc>
      </w:tr>
      <w:tr w:rsidR="00DA425D" w14:paraId="34D80EC1" w14:textId="77777777" w:rsidTr="00D76F87">
        <w:tc>
          <w:tcPr>
            <w:tcW w:w="1361" w:type="dxa"/>
          </w:tcPr>
          <w:p w14:paraId="74140778" w14:textId="52384101" w:rsidR="00DA425D" w:rsidRDefault="00DA425D" w:rsidP="00710B20">
            <w:pPr>
              <w:tabs>
                <w:tab w:val="left" w:pos="1635"/>
                <w:tab w:val="center" w:pos="4806"/>
              </w:tabs>
              <w:rPr>
                <w:rFonts w:ascii="Times New Roman" w:eastAsia="Times New Roman" w:hAnsi="Times New Roman" w:cs="Times New Roman"/>
                <w:bCs/>
              </w:rPr>
            </w:pPr>
            <w:r>
              <w:rPr>
                <w:rFonts w:ascii="Times New Roman" w:eastAsia="Times New Roman" w:hAnsi="Times New Roman" w:cs="Times New Roman"/>
                <w:bCs/>
              </w:rPr>
              <w:t>2023</w:t>
            </w:r>
          </w:p>
        </w:tc>
        <w:tc>
          <w:tcPr>
            <w:tcW w:w="1156" w:type="dxa"/>
          </w:tcPr>
          <w:p w14:paraId="3F6F8898" w14:textId="1DD10C75" w:rsidR="00DA425D" w:rsidRDefault="00DA425D" w:rsidP="00DA425D">
            <w:pPr>
              <w:tabs>
                <w:tab w:val="left" w:pos="1635"/>
                <w:tab w:val="center" w:pos="4806"/>
              </w:tabs>
              <w:jc w:val="center"/>
              <w:rPr>
                <w:rFonts w:ascii="Times New Roman" w:eastAsia="Times New Roman" w:hAnsi="Times New Roman" w:cs="Times New Roman"/>
                <w:bCs/>
              </w:rPr>
            </w:pPr>
            <w:r>
              <w:rPr>
                <w:rFonts w:ascii="Times New Roman" w:eastAsia="Times New Roman" w:hAnsi="Times New Roman" w:cs="Times New Roman"/>
                <w:bCs/>
              </w:rPr>
              <w:t xml:space="preserve">  5.65%</w:t>
            </w:r>
          </w:p>
        </w:tc>
      </w:tr>
      <w:tr w:rsidR="00DA425D" w14:paraId="4B7DF04E" w14:textId="77777777" w:rsidTr="00D76F87">
        <w:tc>
          <w:tcPr>
            <w:tcW w:w="1361" w:type="dxa"/>
          </w:tcPr>
          <w:p w14:paraId="5FBACC4A" w14:textId="7563FB97" w:rsidR="00DA425D" w:rsidRDefault="00DA425D" w:rsidP="00710B20">
            <w:pPr>
              <w:tabs>
                <w:tab w:val="left" w:pos="1635"/>
                <w:tab w:val="center" w:pos="4806"/>
              </w:tabs>
              <w:rPr>
                <w:rFonts w:ascii="Times New Roman" w:eastAsia="Times New Roman" w:hAnsi="Times New Roman" w:cs="Times New Roman"/>
                <w:bCs/>
              </w:rPr>
            </w:pPr>
            <w:r>
              <w:rPr>
                <w:rFonts w:ascii="Times New Roman" w:eastAsia="Times New Roman" w:hAnsi="Times New Roman" w:cs="Times New Roman"/>
                <w:bCs/>
              </w:rPr>
              <w:t>2024 YTD</w:t>
            </w:r>
          </w:p>
        </w:tc>
        <w:tc>
          <w:tcPr>
            <w:tcW w:w="1156" w:type="dxa"/>
          </w:tcPr>
          <w:p w14:paraId="1C3C2C58" w14:textId="2621DC05" w:rsidR="00DA425D" w:rsidRDefault="00DA425D" w:rsidP="00DA425D">
            <w:pPr>
              <w:tabs>
                <w:tab w:val="left" w:pos="1635"/>
                <w:tab w:val="center" w:pos="4806"/>
              </w:tabs>
              <w:jc w:val="center"/>
              <w:rPr>
                <w:rFonts w:ascii="Times New Roman" w:eastAsia="Times New Roman" w:hAnsi="Times New Roman" w:cs="Times New Roman"/>
                <w:bCs/>
              </w:rPr>
            </w:pPr>
            <w:r>
              <w:rPr>
                <w:rFonts w:ascii="Times New Roman" w:eastAsia="Times New Roman" w:hAnsi="Times New Roman" w:cs="Times New Roman"/>
                <w:bCs/>
              </w:rPr>
              <w:t xml:space="preserve">  3.51%</w:t>
            </w:r>
          </w:p>
        </w:tc>
      </w:tr>
    </w:tbl>
    <w:p w14:paraId="73FA9492" w14:textId="0E33F110" w:rsidR="00DA425D" w:rsidRPr="00DA425D" w:rsidRDefault="00DA425D" w:rsidP="00710B20">
      <w:pPr>
        <w:tabs>
          <w:tab w:val="left" w:pos="1635"/>
          <w:tab w:val="center" w:pos="4806"/>
        </w:tabs>
        <w:spacing w:after="0" w:line="240" w:lineRule="auto"/>
        <w:ind w:firstLine="720"/>
        <w:rPr>
          <w:rFonts w:ascii="Times New Roman" w:eastAsia="Times New Roman" w:hAnsi="Times New Roman" w:cs="Times New Roman"/>
          <w:b/>
          <w:sz w:val="16"/>
          <w:szCs w:val="16"/>
        </w:rPr>
      </w:pPr>
      <w:r w:rsidRPr="00DA425D">
        <w:rPr>
          <w:rFonts w:ascii="Times New Roman" w:eastAsia="Times New Roman" w:hAnsi="Times New Roman" w:cs="Times New Roman"/>
          <w:b/>
          <w:sz w:val="16"/>
          <w:szCs w:val="16"/>
        </w:rPr>
        <w:t xml:space="preserve">                                            </w:t>
      </w:r>
      <w:r>
        <w:rPr>
          <w:rFonts w:ascii="Times New Roman" w:eastAsia="Times New Roman" w:hAnsi="Times New Roman" w:cs="Times New Roman"/>
          <w:b/>
          <w:sz w:val="16"/>
          <w:szCs w:val="16"/>
        </w:rPr>
        <w:t xml:space="preserve">                         </w:t>
      </w:r>
      <w:r w:rsidRPr="00DA425D">
        <w:rPr>
          <w:rFonts w:ascii="Times New Roman" w:eastAsia="Times New Roman" w:hAnsi="Times New Roman" w:cs="Times New Roman"/>
          <w:b/>
          <w:sz w:val="16"/>
          <w:szCs w:val="16"/>
        </w:rPr>
        <w:t xml:space="preserve"> Source:  Morningstar</w:t>
      </w:r>
    </w:p>
    <w:p w14:paraId="7C850752" w14:textId="77777777" w:rsidR="00710B20" w:rsidRDefault="00710B20" w:rsidP="00710B20">
      <w:pPr>
        <w:tabs>
          <w:tab w:val="left" w:pos="1635"/>
          <w:tab w:val="center" w:pos="4806"/>
        </w:tabs>
        <w:spacing w:after="0" w:line="240" w:lineRule="auto"/>
        <w:ind w:firstLine="720"/>
        <w:rPr>
          <w:rFonts w:ascii="Times New Roman" w:eastAsia="Times New Roman" w:hAnsi="Times New Roman" w:cs="Times New Roman"/>
          <w:bCs/>
        </w:rPr>
      </w:pPr>
    </w:p>
    <w:p w14:paraId="42F726B8" w14:textId="6F40F9D1" w:rsidR="00B8702F" w:rsidRDefault="00B8702F" w:rsidP="00710B20">
      <w:pPr>
        <w:tabs>
          <w:tab w:val="left" w:pos="1635"/>
          <w:tab w:val="center" w:pos="4806"/>
        </w:tabs>
        <w:spacing w:after="0" w:line="240" w:lineRule="auto"/>
        <w:ind w:firstLine="720"/>
        <w:rPr>
          <w:rFonts w:ascii="Times New Roman" w:eastAsia="Times New Roman" w:hAnsi="Times New Roman" w:cs="Times New Roman"/>
          <w:bCs/>
        </w:rPr>
      </w:pPr>
      <w:r>
        <w:rPr>
          <w:rFonts w:ascii="Times New Roman" w:eastAsia="Times New Roman" w:hAnsi="Times New Roman" w:cs="Times New Roman"/>
          <w:bCs/>
        </w:rPr>
        <w:t xml:space="preserve">These lower returns are as you would expect for bonds. And you can see what happened to bonds when the Federal </w:t>
      </w:r>
      <w:r w:rsidR="00E76B6B">
        <w:rPr>
          <w:rFonts w:ascii="Times New Roman" w:eastAsia="Times New Roman" w:hAnsi="Times New Roman" w:cs="Times New Roman"/>
          <w:bCs/>
        </w:rPr>
        <w:t>R</w:t>
      </w:r>
      <w:r>
        <w:rPr>
          <w:rFonts w:ascii="Times New Roman" w:eastAsia="Times New Roman" w:hAnsi="Times New Roman" w:cs="Times New Roman"/>
          <w:bCs/>
        </w:rPr>
        <w:t xml:space="preserve">eserve began to raise </w:t>
      </w:r>
      <w:r w:rsidR="00777CE0">
        <w:rPr>
          <w:rFonts w:ascii="Times New Roman" w:eastAsia="Times New Roman" w:hAnsi="Times New Roman" w:cs="Times New Roman"/>
          <w:bCs/>
        </w:rPr>
        <w:t>short-term</w:t>
      </w:r>
      <w:r>
        <w:rPr>
          <w:rFonts w:ascii="Times New Roman" w:eastAsia="Times New Roman" w:hAnsi="Times New Roman" w:cs="Times New Roman"/>
          <w:bCs/>
        </w:rPr>
        <w:t xml:space="preserve"> interest rates</w:t>
      </w:r>
      <w:r w:rsidR="00777CE0">
        <w:rPr>
          <w:rFonts w:ascii="Times New Roman" w:eastAsia="Times New Roman" w:hAnsi="Times New Roman" w:cs="Times New Roman"/>
          <w:bCs/>
        </w:rPr>
        <w:t xml:space="preserve"> in 2022</w:t>
      </w:r>
      <w:r>
        <w:rPr>
          <w:rFonts w:ascii="Times New Roman" w:eastAsia="Times New Roman" w:hAnsi="Times New Roman" w:cs="Times New Roman"/>
          <w:bCs/>
        </w:rPr>
        <w:t>.</w:t>
      </w:r>
    </w:p>
    <w:p w14:paraId="7E854A4D" w14:textId="05DB6428" w:rsidR="00B8702F" w:rsidRDefault="00B8702F" w:rsidP="00710B20">
      <w:pPr>
        <w:tabs>
          <w:tab w:val="left" w:pos="1635"/>
          <w:tab w:val="center" w:pos="4806"/>
        </w:tabs>
        <w:spacing w:after="0" w:line="240" w:lineRule="auto"/>
        <w:ind w:firstLine="720"/>
        <w:rPr>
          <w:rFonts w:ascii="Times New Roman" w:eastAsia="Times New Roman" w:hAnsi="Times New Roman" w:cs="Times New Roman"/>
          <w:bCs/>
        </w:rPr>
      </w:pPr>
      <w:r>
        <w:rPr>
          <w:rFonts w:ascii="Times New Roman" w:eastAsia="Times New Roman" w:hAnsi="Times New Roman" w:cs="Times New Roman"/>
          <w:bCs/>
        </w:rPr>
        <w:t xml:space="preserve">There </w:t>
      </w:r>
      <w:proofErr w:type="gramStart"/>
      <w:r>
        <w:rPr>
          <w:rFonts w:ascii="Times New Roman" w:eastAsia="Times New Roman" w:hAnsi="Times New Roman" w:cs="Times New Roman"/>
          <w:bCs/>
        </w:rPr>
        <w:t>are</w:t>
      </w:r>
      <w:proofErr w:type="gramEnd"/>
      <w:r>
        <w:rPr>
          <w:rFonts w:ascii="Times New Roman" w:eastAsia="Times New Roman" w:hAnsi="Times New Roman" w:cs="Times New Roman"/>
          <w:bCs/>
        </w:rPr>
        <w:t xml:space="preserve"> no doubt many lessons and conclusions we can draw from these numbers. </w:t>
      </w:r>
    </w:p>
    <w:p w14:paraId="5EF1A6F2" w14:textId="77777777" w:rsidR="00B8702F" w:rsidRDefault="00B8702F" w:rsidP="00B8702F">
      <w:pPr>
        <w:tabs>
          <w:tab w:val="left" w:pos="795"/>
          <w:tab w:val="left" w:pos="1635"/>
          <w:tab w:val="center" w:pos="4806"/>
        </w:tabs>
        <w:spacing w:after="0" w:line="240" w:lineRule="auto"/>
        <w:rPr>
          <w:rFonts w:ascii="Times New Roman" w:eastAsia="Times New Roman" w:hAnsi="Times New Roman" w:cs="Times New Roman"/>
          <w:bCs/>
        </w:rPr>
      </w:pPr>
      <w:r>
        <w:rPr>
          <w:rFonts w:ascii="Times New Roman" w:eastAsia="Times New Roman" w:hAnsi="Times New Roman" w:cs="Times New Roman"/>
          <w:bCs/>
        </w:rPr>
        <w:tab/>
        <w:t>However, in our opinion two stand out.</w:t>
      </w:r>
    </w:p>
    <w:p w14:paraId="15EA35B7" w14:textId="766652C3" w:rsidR="00B8702F" w:rsidRDefault="00B8702F" w:rsidP="00B8702F">
      <w:pPr>
        <w:tabs>
          <w:tab w:val="left" w:pos="795"/>
          <w:tab w:val="left" w:pos="1635"/>
          <w:tab w:val="center" w:pos="4806"/>
        </w:tabs>
        <w:spacing w:after="0" w:line="240" w:lineRule="auto"/>
        <w:rPr>
          <w:rFonts w:ascii="Times New Roman" w:eastAsia="Times New Roman" w:hAnsi="Times New Roman" w:cs="Times New Roman"/>
          <w:bCs/>
        </w:rPr>
      </w:pPr>
      <w:r>
        <w:rPr>
          <w:rFonts w:ascii="Times New Roman" w:eastAsia="Times New Roman" w:hAnsi="Times New Roman" w:cs="Times New Roman"/>
          <w:bCs/>
        </w:rPr>
        <w:tab/>
        <w:t>U.S. stocks have rewarded investors with substantially higher than historic returns.</w:t>
      </w:r>
    </w:p>
    <w:p w14:paraId="6664A05E" w14:textId="470AFC4C" w:rsidR="00B8702F" w:rsidRDefault="00B8702F" w:rsidP="00B8702F">
      <w:pPr>
        <w:tabs>
          <w:tab w:val="left" w:pos="795"/>
          <w:tab w:val="left" w:pos="1635"/>
          <w:tab w:val="center" w:pos="4806"/>
        </w:tabs>
        <w:spacing w:after="0" w:line="240" w:lineRule="auto"/>
        <w:rPr>
          <w:rFonts w:ascii="Times New Roman" w:eastAsia="Times New Roman" w:hAnsi="Times New Roman" w:cs="Times New Roman"/>
          <w:bCs/>
        </w:rPr>
      </w:pPr>
      <w:r>
        <w:rPr>
          <w:rFonts w:ascii="Times New Roman" w:eastAsia="Times New Roman" w:hAnsi="Times New Roman" w:cs="Times New Roman"/>
          <w:bCs/>
        </w:rPr>
        <w:tab/>
        <w:t xml:space="preserve">Bonds had a historically bad year in 2022. </w:t>
      </w:r>
      <w:r>
        <w:rPr>
          <w:rFonts w:ascii="Times New Roman" w:eastAsia="Times New Roman" w:hAnsi="Times New Roman" w:cs="Times New Roman"/>
          <w:bCs/>
        </w:rPr>
        <w:tab/>
      </w:r>
    </w:p>
    <w:p w14:paraId="432F8FE9" w14:textId="77777777" w:rsidR="0086288A" w:rsidRDefault="00B8702F" w:rsidP="0086288A">
      <w:pPr>
        <w:tabs>
          <w:tab w:val="left" w:pos="795"/>
          <w:tab w:val="left" w:pos="1635"/>
          <w:tab w:val="center" w:pos="4806"/>
        </w:tabs>
        <w:spacing w:after="0" w:line="240" w:lineRule="auto"/>
        <w:rPr>
          <w:rFonts w:ascii="Times New Roman" w:eastAsia="Times New Roman" w:hAnsi="Times New Roman" w:cs="Times New Roman"/>
          <w:bCs/>
        </w:rPr>
      </w:pPr>
      <w:r>
        <w:rPr>
          <w:rFonts w:ascii="Times New Roman" w:eastAsia="Times New Roman" w:hAnsi="Times New Roman" w:cs="Times New Roman"/>
          <w:bCs/>
        </w:rPr>
        <w:tab/>
        <w:t>While experts can argue over the 2025 outlook for U.S. equities, we believe no one can argue the asset class is cheap.</w:t>
      </w:r>
      <w:r w:rsidR="0086288A">
        <w:rPr>
          <w:rFonts w:ascii="Times New Roman" w:eastAsia="Times New Roman" w:hAnsi="Times New Roman" w:cs="Times New Roman"/>
          <w:bCs/>
        </w:rPr>
        <w:t xml:space="preserve"> </w:t>
      </w:r>
    </w:p>
    <w:p w14:paraId="6AD5C4AC" w14:textId="1DF51ED2" w:rsidR="00B8702F" w:rsidRDefault="0086288A" w:rsidP="00B8702F">
      <w:pPr>
        <w:tabs>
          <w:tab w:val="left" w:pos="795"/>
          <w:tab w:val="left" w:pos="1635"/>
          <w:tab w:val="center" w:pos="4806"/>
        </w:tabs>
        <w:spacing w:after="0" w:line="240" w:lineRule="auto"/>
        <w:rPr>
          <w:rFonts w:ascii="Times New Roman" w:eastAsia="Times New Roman" w:hAnsi="Times New Roman" w:cs="Times New Roman"/>
          <w:bCs/>
        </w:rPr>
      </w:pPr>
      <w:r>
        <w:rPr>
          <w:rFonts w:ascii="Times New Roman" w:eastAsia="Times New Roman" w:hAnsi="Times New Roman" w:cs="Times New Roman"/>
          <w:bCs/>
        </w:rPr>
        <w:tab/>
      </w:r>
      <w:r w:rsidRPr="0086288A">
        <w:rPr>
          <w:rFonts w:ascii="Times New Roman" w:eastAsia="Times New Roman" w:hAnsi="Times New Roman" w:cs="Times New Roman"/>
          <w:bCs/>
        </w:rPr>
        <w:t xml:space="preserve">A common measure used to analyze if stocks are cheap or expensive is the price-to-earnings (P/E) ratio, which measures a stock’s current share price relative to its earnings per </w:t>
      </w:r>
      <w:r w:rsidRPr="0086288A">
        <w:rPr>
          <w:rFonts w:ascii="Times New Roman" w:eastAsia="Times New Roman" w:hAnsi="Times New Roman" w:cs="Times New Roman"/>
          <w:bCs/>
        </w:rPr>
        <w:lastRenderedPageBreak/>
        <w:t xml:space="preserve">share. The S&amp;P 500 currently has a P/E of </w:t>
      </w:r>
      <w:r w:rsidRPr="00D2356D">
        <w:rPr>
          <w:rFonts w:ascii="Times New Roman" w:eastAsia="Times New Roman" w:hAnsi="Times New Roman" w:cs="Times New Roman"/>
          <w:b/>
        </w:rPr>
        <w:t>31.15</w:t>
      </w:r>
      <w:r w:rsidRPr="0086288A">
        <w:rPr>
          <w:rFonts w:ascii="Times New Roman" w:eastAsia="Times New Roman" w:hAnsi="Times New Roman" w:cs="Times New Roman"/>
          <w:bCs/>
        </w:rPr>
        <w:t xml:space="preserve"> (as of December 11, 2024), nearly double the average P/E ratio (16.1) over the last 10 years. (Source: Robert J. Shiller.)</w:t>
      </w:r>
    </w:p>
    <w:p w14:paraId="5F2D42BE" w14:textId="3FA5AA47" w:rsidR="00B8702F" w:rsidRDefault="00B8702F" w:rsidP="00B8702F">
      <w:pPr>
        <w:tabs>
          <w:tab w:val="left" w:pos="795"/>
          <w:tab w:val="left" w:pos="1635"/>
          <w:tab w:val="center" w:pos="4806"/>
        </w:tabs>
        <w:spacing w:after="0" w:line="240" w:lineRule="auto"/>
        <w:rPr>
          <w:rFonts w:ascii="Times New Roman" w:eastAsia="Times New Roman" w:hAnsi="Times New Roman" w:cs="Times New Roman"/>
          <w:bCs/>
        </w:rPr>
      </w:pPr>
      <w:r>
        <w:rPr>
          <w:rFonts w:ascii="Times New Roman" w:eastAsia="Times New Roman" w:hAnsi="Times New Roman" w:cs="Times New Roman"/>
          <w:bCs/>
        </w:rPr>
        <w:tab/>
        <w:t xml:space="preserve">This leads us to recommend to investors that we all should have modest stock market return expectations for 2025. Of course, part performance is no guarantee of future returns. Let’s first be prudent in our investment and financial planning expectations. </w:t>
      </w:r>
    </w:p>
    <w:p w14:paraId="16C619FF" w14:textId="45D4D93F" w:rsidR="003041A2" w:rsidRDefault="003041A2" w:rsidP="00B8702F">
      <w:pPr>
        <w:tabs>
          <w:tab w:val="left" w:pos="795"/>
          <w:tab w:val="left" w:pos="1635"/>
          <w:tab w:val="center" w:pos="4806"/>
        </w:tabs>
        <w:spacing w:after="0" w:line="240" w:lineRule="auto"/>
        <w:rPr>
          <w:rFonts w:ascii="Times New Roman" w:eastAsia="Times New Roman" w:hAnsi="Times New Roman" w:cs="Times New Roman"/>
          <w:bCs/>
        </w:rPr>
      </w:pPr>
      <w:r>
        <w:rPr>
          <w:rFonts w:ascii="Times New Roman" w:eastAsia="Times New Roman" w:hAnsi="Times New Roman" w:cs="Times New Roman"/>
          <w:bCs/>
        </w:rPr>
        <w:tab/>
        <w:t xml:space="preserve">And finally, here are the returns during the same period for international equities, once again using an </w:t>
      </w:r>
      <w:r w:rsidR="00777CE0">
        <w:rPr>
          <w:rFonts w:ascii="Times New Roman" w:eastAsia="Times New Roman" w:hAnsi="Times New Roman" w:cs="Times New Roman"/>
          <w:bCs/>
        </w:rPr>
        <w:t>ETF</w:t>
      </w:r>
      <w:r>
        <w:rPr>
          <w:rFonts w:ascii="Times New Roman" w:eastAsia="Times New Roman" w:hAnsi="Times New Roman" w:cs="Times New Roman"/>
          <w:bCs/>
        </w:rPr>
        <w:t xml:space="preserve"> as a proxy. </w:t>
      </w:r>
    </w:p>
    <w:p w14:paraId="59E0B5EF" w14:textId="77777777" w:rsidR="003041A2" w:rsidRDefault="003041A2" w:rsidP="00B8702F">
      <w:pPr>
        <w:tabs>
          <w:tab w:val="left" w:pos="795"/>
          <w:tab w:val="left" w:pos="1635"/>
          <w:tab w:val="center" w:pos="4806"/>
        </w:tabs>
        <w:spacing w:after="0" w:line="240" w:lineRule="auto"/>
        <w:rPr>
          <w:rFonts w:ascii="Times New Roman" w:eastAsia="Times New Roman" w:hAnsi="Times New Roman" w:cs="Times New Roman"/>
          <w:bCs/>
        </w:rPr>
      </w:pPr>
    </w:p>
    <w:p w14:paraId="38109F91" w14:textId="7429329B" w:rsidR="003041A2" w:rsidRPr="003041A2" w:rsidRDefault="003041A2" w:rsidP="003041A2">
      <w:pPr>
        <w:tabs>
          <w:tab w:val="left" w:pos="795"/>
          <w:tab w:val="left" w:pos="1635"/>
          <w:tab w:val="center" w:pos="4806"/>
        </w:tabs>
        <w:spacing w:after="0" w:line="240" w:lineRule="auto"/>
        <w:jc w:val="center"/>
        <w:rPr>
          <w:rFonts w:ascii="Times New Roman" w:eastAsia="Times New Roman" w:hAnsi="Times New Roman" w:cs="Times New Roman"/>
          <w:b/>
        </w:rPr>
      </w:pPr>
      <w:r w:rsidRPr="003041A2">
        <w:rPr>
          <w:rFonts w:ascii="Times New Roman" w:eastAsia="Times New Roman" w:hAnsi="Times New Roman" w:cs="Times New Roman"/>
          <w:b/>
        </w:rPr>
        <w:t>Total International Stock Market/</w:t>
      </w:r>
      <w:proofErr w:type="spellStart"/>
      <w:r w:rsidRPr="003041A2">
        <w:rPr>
          <w:rFonts w:ascii="Times New Roman" w:eastAsia="Times New Roman" w:hAnsi="Times New Roman" w:cs="Times New Roman"/>
          <w:b/>
        </w:rPr>
        <w:t>VXUS</w:t>
      </w:r>
      <w:proofErr w:type="spellEnd"/>
    </w:p>
    <w:p w14:paraId="6E0088B8" w14:textId="77777777" w:rsidR="003041A2" w:rsidRDefault="003041A2" w:rsidP="00B8702F">
      <w:pPr>
        <w:tabs>
          <w:tab w:val="left" w:pos="795"/>
          <w:tab w:val="left" w:pos="1635"/>
          <w:tab w:val="center" w:pos="4806"/>
        </w:tabs>
        <w:spacing w:after="0" w:line="240" w:lineRule="auto"/>
        <w:rPr>
          <w:rFonts w:ascii="Times New Roman" w:eastAsia="Times New Roman" w:hAnsi="Times New Roman" w:cs="Times New Roman"/>
          <w:bCs/>
        </w:rPr>
      </w:pPr>
    </w:p>
    <w:tbl>
      <w:tblPr>
        <w:tblStyle w:val="TableGrid"/>
        <w:tblW w:w="0" w:type="auto"/>
        <w:tblInd w:w="29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6"/>
        <w:gridCol w:w="1212"/>
      </w:tblGrid>
      <w:tr w:rsidR="003041A2" w14:paraId="2D82D1DA" w14:textId="77777777" w:rsidTr="003041A2">
        <w:tc>
          <w:tcPr>
            <w:tcW w:w="2316" w:type="dxa"/>
          </w:tcPr>
          <w:p w14:paraId="272E69C8" w14:textId="25A7C513" w:rsidR="003041A2" w:rsidRDefault="003041A2" w:rsidP="003041A2">
            <w:pPr>
              <w:tabs>
                <w:tab w:val="left" w:pos="795"/>
                <w:tab w:val="left" w:pos="1635"/>
                <w:tab w:val="center" w:pos="4806"/>
              </w:tabs>
              <w:jc w:val="center"/>
              <w:rPr>
                <w:rFonts w:ascii="Times New Roman" w:eastAsia="Times New Roman" w:hAnsi="Times New Roman" w:cs="Times New Roman"/>
                <w:bCs/>
              </w:rPr>
            </w:pPr>
            <w:bookmarkStart w:id="0" w:name="_Hlk184885523"/>
            <w:r>
              <w:rPr>
                <w:rFonts w:ascii="Times New Roman" w:eastAsia="Times New Roman" w:hAnsi="Times New Roman" w:cs="Times New Roman"/>
                <w:bCs/>
              </w:rPr>
              <w:t>2019</w:t>
            </w:r>
          </w:p>
        </w:tc>
        <w:tc>
          <w:tcPr>
            <w:tcW w:w="1212" w:type="dxa"/>
          </w:tcPr>
          <w:p w14:paraId="3A9CD421" w14:textId="02E289BE" w:rsidR="003041A2" w:rsidRDefault="003041A2" w:rsidP="003041A2">
            <w:pPr>
              <w:tabs>
                <w:tab w:val="left" w:pos="795"/>
                <w:tab w:val="left" w:pos="1635"/>
                <w:tab w:val="center" w:pos="4806"/>
              </w:tabs>
              <w:jc w:val="center"/>
              <w:rPr>
                <w:rFonts w:ascii="Times New Roman" w:eastAsia="Times New Roman" w:hAnsi="Times New Roman" w:cs="Times New Roman"/>
                <w:bCs/>
              </w:rPr>
            </w:pPr>
            <w:r>
              <w:rPr>
                <w:rFonts w:ascii="Times New Roman" w:eastAsia="Times New Roman" w:hAnsi="Times New Roman" w:cs="Times New Roman"/>
                <w:bCs/>
              </w:rPr>
              <w:t>21.75%</w:t>
            </w:r>
          </w:p>
        </w:tc>
      </w:tr>
      <w:tr w:rsidR="003041A2" w14:paraId="00E16038" w14:textId="77777777" w:rsidTr="003041A2">
        <w:tc>
          <w:tcPr>
            <w:tcW w:w="2316" w:type="dxa"/>
          </w:tcPr>
          <w:p w14:paraId="0EB96633" w14:textId="6D7991BD" w:rsidR="003041A2" w:rsidRDefault="003041A2" w:rsidP="003041A2">
            <w:pPr>
              <w:tabs>
                <w:tab w:val="left" w:pos="795"/>
                <w:tab w:val="left" w:pos="1635"/>
                <w:tab w:val="center" w:pos="4806"/>
              </w:tabs>
              <w:jc w:val="center"/>
              <w:rPr>
                <w:rFonts w:ascii="Times New Roman" w:eastAsia="Times New Roman" w:hAnsi="Times New Roman" w:cs="Times New Roman"/>
                <w:bCs/>
              </w:rPr>
            </w:pPr>
            <w:r>
              <w:rPr>
                <w:rFonts w:ascii="Times New Roman" w:eastAsia="Times New Roman" w:hAnsi="Times New Roman" w:cs="Times New Roman"/>
                <w:bCs/>
              </w:rPr>
              <w:t>2020</w:t>
            </w:r>
          </w:p>
        </w:tc>
        <w:tc>
          <w:tcPr>
            <w:tcW w:w="1212" w:type="dxa"/>
          </w:tcPr>
          <w:p w14:paraId="7992695F" w14:textId="6CE4F86C" w:rsidR="003041A2" w:rsidRDefault="003041A2" w:rsidP="003041A2">
            <w:pPr>
              <w:tabs>
                <w:tab w:val="left" w:pos="795"/>
                <w:tab w:val="left" w:pos="1635"/>
                <w:tab w:val="center" w:pos="4806"/>
              </w:tabs>
              <w:jc w:val="center"/>
              <w:rPr>
                <w:rFonts w:ascii="Times New Roman" w:eastAsia="Times New Roman" w:hAnsi="Times New Roman" w:cs="Times New Roman"/>
                <w:bCs/>
              </w:rPr>
            </w:pPr>
            <w:r>
              <w:rPr>
                <w:rFonts w:ascii="Times New Roman" w:eastAsia="Times New Roman" w:hAnsi="Times New Roman" w:cs="Times New Roman"/>
                <w:bCs/>
              </w:rPr>
              <w:t xml:space="preserve">  10.69%</w:t>
            </w:r>
          </w:p>
        </w:tc>
      </w:tr>
      <w:tr w:rsidR="003041A2" w14:paraId="39104D79" w14:textId="77777777" w:rsidTr="003041A2">
        <w:tc>
          <w:tcPr>
            <w:tcW w:w="2316" w:type="dxa"/>
          </w:tcPr>
          <w:p w14:paraId="6134FDD0" w14:textId="319AC699" w:rsidR="003041A2" w:rsidRDefault="003041A2" w:rsidP="003041A2">
            <w:pPr>
              <w:tabs>
                <w:tab w:val="left" w:pos="795"/>
                <w:tab w:val="left" w:pos="1635"/>
                <w:tab w:val="center" w:pos="4806"/>
              </w:tabs>
              <w:jc w:val="center"/>
              <w:rPr>
                <w:rFonts w:ascii="Times New Roman" w:eastAsia="Times New Roman" w:hAnsi="Times New Roman" w:cs="Times New Roman"/>
                <w:bCs/>
              </w:rPr>
            </w:pPr>
            <w:r>
              <w:rPr>
                <w:rFonts w:ascii="Times New Roman" w:eastAsia="Times New Roman" w:hAnsi="Times New Roman" w:cs="Times New Roman"/>
                <w:bCs/>
              </w:rPr>
              <w:t>2021</w:t>
            </w:r>
          </w:p>
        </w:tc>
        <w:tc>
          <w:tcPr>
            <w:tcW w:w="1212" w:type="dxa"/>
          </w:tcPr>
          <w:p w14:paraId="48F9FA9E" w14:textId="5DA83C9F" w:rsidR="003041A2" w:rsidRDefault="003041A2" w:rsidP="003041A2">
            <w:pPr>
              <w:tabs>
                <w:tab w:val="left" w:pos="795"/>
                <w:tab w:val="left" w:pos="1635"/>
                <w:tab w:val="center" w:pos="4806"/>
              </w:tabs>
              <w:jc w:val="center"/>
              <w:rPr>
                <w:rFonts w:ascii="Times New Roman" w:eastAsia="Times New Roman" w:hAnsi="Times New Roman" w:cs="Times New Roman"/>
                <w:bCs/>
              </w:rPr>
            </w:pPr>
            <w:r>
              <w:rPr>
                <w:rFonts w:ascii="Times New Roman" w:eastAsia="Times New Roman" w:hAnsi="Times New Roman" w:cs="Times New Roman"/>
                <w:bCs/>
              </w:rPr>
              <w:t xml:space="preserve">    9.00%</w:t>
            </w:r>
          </w:p>
        </w:tc>
      </w:tr>
      <w:tr w:rsidR="003041A2" w14:paraId="1B94F93B" w14:textId="77777777" w:rsidTr="003041A2">
        <w:tc>
          <w:tcPr>
            <w:tcW w:w="2316" w:type="dxa"/>
          </w:tcPr>
          <w:p w14:paraId="2CBFA12F" w14:textId="0F5F99D3" w:rsidR="003041A2" w:rsidRDefault="003041A2" w:rsidP="003041A2">
            <w:pPr>
              <w:tabs>
                <w:tab w:val="left" w:pos="795"/>
                <w:tab w:val="left" w:pos="1635"/>
                <w:tab w:val="center" w:pos="4806"/>
              </w:tabs>
              <w:jc w:val="center"/>
              <w:rPr>
                <w:rFonts w:ascii="Times New Roman" w:eastAsia="Times New Roman" w:hAnsi="Times New Roman" w:cs="Times New Roman"/>
                <w:bCs/>
              </w:rPr>
            </w:pPr>
            <w:r>
              <w:rPr>
                <w:rFonts w:ascii="Times New Roman" w:eastAsia="Times New Roman" w:hAnsi="Times New Roman" w:cs="Times New Roman"/>
                <w:bCs/>
              </w:rPr>
              <w:t>2022</w:t>
            </w:r>
          </w:p>
        </w:tc>
        <w:tc>
          <w:tcPr>
            <w:tcW w:w="1212" w:type="dxa"/>
          </w:tcPr>
          <w:p w14:paraId="4E974092" w14:textId="1A2A95DA" w:rsidR="003041A2" w:rsidRDefault="003041A2" w:rsidP="003041A2">
            <w:pPr>
              <w:tabs>
                <w:tab w:val="left" w:pos="795"/>
                <w:tab w:val="left" w:pos="1635"/>
                <w:tab w:val="center" w:pos="4806"/>
              </w:tabs>
              <w:jc w:val="center"/>
              <w:rPr>
                <w:rFonts w:ascii="Times New Roman" w:eastAsia="Times New Roman" w:hAnsi="Times New Roman" w:cs="Times New Roman"/>
                <w:bCs/>
              </w:rPr>
            </w:pPr>
            <w:r>
              <w:rPr>
                <w:rFonts w:ascii="Times New Roman" w:eastAsia="Times New Roman" w:hAnsi="Times New Roman" w:cs="Times New Roman"/>
                <w:bCs/>
              </w:rPr>
              <w:t xml:space="preserve"> -16.09%</w:t>
            </w:r>
          </w:p>
        </w:tc>
      </w:tr>
      <w:tr w:rsidR="003041A2" w14:paraId="3BA9B35D" w14:textId="77777777" w:rsidTr="003041A2">
        <w:tc>
          <w:tcPr>
            <w:tcW w:w="2316" w:type="dxa"/>
          </w:tcPr>
          <w:p w14:paraId="4EFA0589" w14:textId="3357040A" w:rsidR="003041A2" w:rsidRDefault="003041A2" w:rsidP="003041A2">
            <w:pPr>
              <w:tabs>
                <w:tab w:val="left" w:pos="795"/>
                <w:tab w:val="left" w:pos="1635"/>
                <w:tab w:val="center" w:pos="4806"/>
              </w:tabs>
              <w:jc w:val="center"/>
              <w:rPr>
                <w:rFonts w:ascii="Times New Roman" w:eastAsia="Times New Roman" w:hAnsi="Times New Roman" w:cs="Times New Roman"/>
                <w:bCs/>
              </w:rPr>
            </w:pPr>
            <w:r>
              <w:rPr>
                <w:rFonts w:ascii="Times New Roman" w:eastAsia="Times New Roman" w:hAnsi="Times New Roman" w:cs="Times New Roman"/>
                <w:bCs/>
              </w:rPr>
              <w:t>2023</w:t>
            </w:r>
          </w:p>
        </w:tc>
        <w:tc>
          <w:tcPr>
            <w:tcW w:w="1212" w:type="dxa"/>
          </w:tcPr>
          <w:p w14:paraId="68B32545" w14:textId="47117547" w:rsidR="003041A2" w:rsidRDefault="003041A2" w:rsidP="003041A2">
            <w:pPr>
              <w:tabs>
                <w:tab w:val="left" w:pos="795"/>
                <w:tab w:val="left" w:pos="1635"/>
                <w:tab w:val="center" w:pos="4806"/>
              </w:tabs>
              <w:jc w:val="center"/>
              <w:rPr>
                <w:rFonts w:ascii="Times New Roman" w:eastAsia="Times New Roman" w:hAnsi="Times New Roman" w:cs="Times New Roman"/>
                <w:bCs/>
              </w:rPr>
            </w:pPr>
            <w:r>
              <w:rPr>
                <w:rFonts w:ascii="Times New Roman" w:eastAsia="Times New Roman" w:hAnsi="Times New Roman" w:cs="Times New Roman"/>
                <w:bCs/>
              </w:rPr>
              <w:t xml:space="preserve">  15.88%</w:t>
            </w:r>
          </w:p>
        </w:tc>
      </w:tr>
      <w:tr w:rsidR="003041A2" w14:paraId="11BC6F79" w14:textId="77777777" w:rsidTr="003041A2">
        <w:tc>
          <w:tcPr>
            <w:tcW w:w="2316" w:type="dxa"/>
          </w:tcPr>
          <w:p w14:paraId="55980066" w14:textId="55E2913B" w:rsidR="003041A2" w:rsidRDefault="003041A2" w:rsidP="003041A2">
            <w:pPr>
              <w:tabs>
                <w:tab w:val="left" w:pos="795"/>
                <w:tab w:val="left" w:pos="1635"/>
                <w:tab w:val="center" w:pos="4806"/>
              </w:tabs>
              <w:jc w:val="center"/>
              <w:rPr>
                <w:rFonts w:ascii="Times New Roman" w:eastAsia="Times New Roman" w:hAnsi="Times New Roman" w:cs="Times New Roman"/>
                <w:bCs/>
              </w:rPr>
            </w:pPr>
            <w:r>
              <w:rPr>
                <w:rFonts w:ascii="Times New Roman" w:eastAsia="Times New Roman" w:hAnsi="Times New Roman" w:cs="Times New Roman"/>
                <w:bCs/>
              </w:rPr>
              <w:t>2024 YTD</w:t>
            </w:r>
          </w:p>
        </w:tc>
        <w:tc>
          <w:tcPr>
            <w:tcW w:w="1212" w:type="dxa"/>
          </w:tcPr>
          <w:p w14:paraId="43543D32" w14:textId="17801DDF" w:rsidR="003041A2" w:rsidRDefault="003041A2" w:rsidP="003041A2">
            <w:pPr>
              <w:tabs>
                <w:tab w:val="left" w:pos="795"/>
                <w:tab w:val="left" w:pos="1635"/>
                <w:tab w:val="center" w:pos="4806"/>
              </w:tabs>
              <w:jc w:val="center"/>
              <w:rPr>
                <w:rFonts w:ascii="Times New Roman" w:eastAsia="Times New Roman" w:hAnsi="Times New Roman" w:cs="Times New Roman"/>
                <w:bCs/>
              </w:rPr>
            </w:pPr>
            <w:r>
              <w:rPr>
                <w:rFonts w:ascii="Times New Roman" w:eastAsia="Times New Roman" w:hAnsi="Times New Roman" w:cs="Times New Roman"/>
                <w:bCs/>
              </w:rPr>
              <w:t xml:space="preserve">    9.35%</w:t>
            </w:r>
          </w:p>
        </w:tc>
      </w:tr>
      <w:tr w:rsidR="003041A2" w14:paraId="77C67156" w14:textId="77777777" w:rsidTr="003041A2">
        <w:tc>
          <w:tcPr>
            <w:tcW w:w="2316" w:type="dxa"/>
          </w:tcPr>
          <w:p w14:paraId="21C120FD" w14:textId="345EAEE9" w:rsidR="003041A2" w:rsidRPr="003041A2" w:rsidRDefault="008C24B1" w:rsidP="00B8702F">
            <w:pPr>
              <w:tabs>
                <w:tab w:val="left" w:pos="795"/>
                <w:tab w:val="left" w:pos="1635"/>
                <w:tab w:val="center" w:pos="4806"/>
              </w:tabs>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r w:rsidR="003041A2" w:rsidRPr="003041A2">
              <w:rPr>
                <w:rFonts w:ascii="Times New Roman" w:eastAsia="Times New Roman" w:hAnsi="Times New Roman" w:cs="Times New Roman"/>
                <w:b/>
                <w:sz w:val="16"/>
                <w:szCs w:val="16"/>
              </w:rPr>
              <w:t>Source: Morningstar</w:t>
            </w:r>
          </w:p>
        </w:tc>
        <w:tc>
          <w:tcPr>
            <w:tcW w:w="1212" w:type="dxa"/>
          </w:tcPr>
          <w:p w14:paraId="091B4F86" w14:textId="77777777" w:rsidR="003041A2" w:rsidRDefault="003041A2" w:rsidP="003041A2">
            <w:pPr>
              <w:tabs>
                <w:tab w:val="left" w:pos="795"/>
                <w:tab w:val="left" w:pos="1635"/>
                <w:tab w:val="center" w:pos="4806"/>
              </w:tabs>
              <w:jc w:val="center"/>
              <w:rPr>
                <w:rFonts w:ascii="Times New Roman" w:eastAsia="Times New Roman" w:hAnsi="Times New Roman" w:cs="Times New Roman"/>
                <w:bCs/>
              </w:rPr>
            </w:pPr>
          </w:p>
        </w:tc>
      </w:tr>
      <w:bookmarkEnd w:id="0"/>
    </w:tbl>
    <w:p w14:paraId="32F6AE35" w14:textId="77777777" w:rsidR="003041A2" w:rsidRDefault="003041A2" w:rsidP="00B8702F">
      <w:pPr>
        <w:tabs>
          <w:tab w:val="left" w:pos="795"/>
          <w:tab w:val="left" w:pos="1635"/>
          <w:tab w:val="center" w:pos="4806"/>
        </w:tabs>
        <w:spacing w:after="0" w:line="240" w:lineRule="auto"/>
        <w:rPr>
          <w:rFonts w:ascii="Times New Roman" w:eastAsia="Times New Roman" w:hAnsi="Times New Roman" w:cs="Times New Roman"/>
          <w:bCs/>
        </w:rPr>
      </w:pPr>
    </w:p>
    <w:p w14:paraId="6834C1AD" w14:textId="5902294C" w:rsidR="00710B20" w:rsidRDefault="008158BD" w:rsidP="00710B20">
      <w:pPr>
        <w:tabs>
          <w:tab w:val="left" w:pos="1635"/>
          <w:tab w:val="center" w:pos="4806"/>
        </w:tabs>
        <w:spacing w:after="0" w:line="240" w:lineRule="auto"/>
        <w:ind w:firstLine="720"/>
        <w:rPr>
          <w:rFonts w:ascii="Times New Roman" w:eastAsia="Times New Roman" w:hAnsi="Times New Roman" w:cs="Times New Roman"/>
          <w:bCs/>
        </w:rPr>
      </w:pPr>
      <w:r>
        <w:rPr>
          <w:rFonts w:ascii="Times New Roman" w:eastAsia="Times New Roman" w:hAnsi="Times New Roman" w:cs="Times New Roman"/>
          <w:bCs/>
        </w:rPr>
        <w:t>If you only looked at these numbers, you would say these are attractive investment returns.</w:t>
      </w:r>
    </w:p>
    <w:p w14:paraId="24040B16" w14:textId="6ECC8F0D" w:rsidR="008158BD" w:rsidRDefault="008158BD" w:rsidP="00710B20">
      <w:pPr>
        <w:tabs>
          <w:tab w:val="left" w:pos="1635"/>
          <w:tab w:val="center" w:pos="4806"/>
        </w:tabs>
        <w:spacing w:after="0" w:line="240" w:lineRule="auto"/>
        <w:ind w:firstLine="720"/>
        <w:rPr>
          <w:rFonts w:ascii="Times New Roman" w:eastAsia="Times New Roman" w:hAnsi="Times New Roman" w:cs="Times New Roman"/>
          <w:bCs/>
        </w:rPr>
      </w:pPr>
      <w:r>
        <w:rPr>
          <w:rFonts w:ascii="Times New Roman" w:eastAsia="Times New Roman" w:hAnsi="Times New Roman" w:cs="Times New Roman"/>
          <w:bCs/>
        </w:rPr>
        <w:t>They just look disappointing when compared to U.S. stock market returns.</w:t>
      </w:r>
    </w:p>
    <w:p w14:paraId="5C634AB9" w14:textId="2065D62F" w:rsidR="008158BD" w:rsidRDefault="008158BD" w:rsidP="00710B20">
      <w:pPr>
        <w:tabs>
          <w:tab w:val="left" w:pos="1635"/>
          <w:tab w:val="center" w:pos="4806"/>
        </w:tabs>
        <w:spacing w:after="0" w:line="240" w:lineRule="auto"/>
        <w:ind w:firstLine="720"/>
        <w:rPr>
          <w:rFonts w:ascii="Times New Roman" w:eastAsia="Times New Roman" w:hAnsi="Times New Roman" w:cs="Times New Roman"/>
          <w:bCs/>
        </w:rPr>
      </w:pPr>
      <w:r>
        <w:rPr>
          <w:rFonts w:ascii="Times New Roman" w:eastAsia="Times New Roman" w:hAnsi="Times New Roman" w:cs="Times New Roman"/>
          <w:bCs/>
        </w:rPr>
        <w:t xml:space="preserve">We believe there are at least two </w:t>
      </w:r>
      <w:r w:rsidR="00777CE0">
        <w:rPr>
          <w:rFonts w:ascii="Times New Roman" w:eastAsia="Times New Roman" w:hAnsi="Times New Roman" w:cs="Times New Roman"/>
          <w:bCs/>
        </w:rPr>
        <w:t>takeaways</w:t>
      </w:r>
      <w:r>
        <w:rPr>
          <w:rFonts w:ascii="Times New Roman" w:eastAsia="Times New Roman" w:hAnsi="Times New Roman" w:cs="Times New Roman"/>
          <w:bCs/>
        </w:rPr>
        <w:t>.</w:t>
      </w:r>
    </w:p>
    <w:p w14:paraId="2692B868" w14:textId="3B0B3D9E" w:rsidR="008158BD" w:rsidRDefault="008158BD" w:rsidP="00710B20">
      <w:pPr>
        <w:tabs>
          <w:tab w:val="left" w:pos="1635"/>
          <w:tab w:val="center" w:pos="4806"/>
        </w:tabs>
        <w:spacing w:after="0" w:line="240" w:lineRule="auto"/>
        <w:ind w:firstLine="720"/>
        <w:rPr>
          <w:rFonts w:ascii="Times New Roman" w:eastAsia="Times New Roman" w:hAnsi="Times New Roman" w:cs="Times New Roman"/>
          <w:bCs/>
        </w:rPr>
      </w:pPr>
      <w:r>
        <w:rPr>
          <w:rFonts w:ascii="Times New Roman" w:eastAsia="Times New Roman" w:hAnsi="Times New Roman" w:cs="Times New Roman"/>
          <w:bCs/>
        </w:rPr>
        <w:t xml:space="preserve">U.S. stocks have substantially outperformed international stocks. And at current </w:t>
      </w:r>
      <w:r w:rsidR="00B40D19">
        <w:rPr>
          <w:rFonts w:ascii="Times New Roman" w:eastAsia="Times New Roman" w:hAnsi="Times New Roman" w:cs="Times New Roman"/>
          <w:bCs/>
        </w:rPr>
        <w:t>levels</w:t>
      </w:r>
      <w:r>
        <w:rPr>
          <w:rFonts w:ascii="Times New Roman" w:eastAsia="Times New Roman" w:hAnsi="Times New Roman" w:cs="Times New Roman"/>
          <w:bCs/>
        </w:rPr>
        <w:t xml:space="preserve">, foreign equities are priced at lower valuations. </w:t>
      </w:r>
    </w:p>
    <w:p w14:paraId="5FFECE3C" w14:textId="06BD57FD" w:rsidR="009E4D69" w:rsidRDefault="008158BD" w:rsidP="0077579D">
      <w:pPr>
        <w:tabs>
          <w:tab w:val="left" w:pos="1635"/>
          <w:tab w:val="center" w:pos="4806"/>
        </w:tabs>
        <w:spacing w:after="0" w:line="240" w:lineRule="auto"/>
        <w:ind w:firstLine="720"/>
        <w:rPr>
          <w:rFonts w:ascii="Times New Roman" w:eastAsia="Times New Roman" w:hAnsi="Times New Roman" w:cs="Times New Roman"/>
          <w:bCs/>
        </w:rPr>
      </w:pPr>
      <w:r>
        <w:rPr>
          <w:rFonts w:ascii="Times New Roman" w:eastAsia="Times New Roman" w:hAnsi="Times New Roman" w:cs="Times New Roman"/>
          <w:bCs/>
        </w:rPr>
        <w:t xml:space="preserve">Since </w:t>
      </w:r>
      <w:r w:rsidR="0077579D">
        <w:rPr>
          <w:rFonts w:ascii="Times New Roman" w:eastAsia="Times New Roman" w:hAnsi="Times New Roman" w:cs="Times New Roman"/>
          <w:bCs/>
        </w:rPr>
        <w:t>it’</w:t>
      </w:r>
      <w:r w:rsidR="00777CE0">
        <w:rPr>
          <w:rFonts w:ascii="Times New Roman" w:eastAsia="Times New Roman" w:hAnsi="Times New Roman" w:cs="Times New Roman"/>
          <w:bCs/>
        </w:rPr>
        <w:t>s</w:t>
      </w:r>
      <w:r w:rsidR="009E4D69">
        <w:rPr>
          <w:rFonts w:ascii="Times New Roman" w:eastAsia="Times New Roman" w:hAnsi="Times New Roman" w:cs="Times New Roman"/>
          <w:bCs/>
        </w:rPr>
        <w:t xml:space="preserve"> anyone’s guess</w:t>
      </w:r>
      <w:r w:rsidR="0077579D">
        <w:rPr>
          <w:rFonts w:ascii="Times New Roman" w:eastAsia="Times New Roman" w:hAnsi="Times New Roman" w:cs="Times New Roman"/>
          <w:bCs/>
        </w:rPr>
        <w:t xml:space="preserve"> when and if this disparity leads to a reversion in performance, we think stock investors </w:t>
      </w:r>
      <w:r w:rsidR="009E4D69">
        <w:rPr>
          <w:rFonts w:ascii="Times New Roman" w:eastAsia="Times New Roman" w:hAnsi="Times New Roman" w:cs="Times New Roman"/>
          <w:bCs/>
        </w:rPr>
        <w:t>should consider at least a modest allocation to foreign equities.</w:t>
      </w:r>
    </w:p>
    <w:p w14:paraId="352499AC" w14:textId="7DAD1F4F" w:rsidR="009F6A1C" w:rsidRDefault="009E4D69" w:rsidP="009644CD">
      <w:pPr>
        <w:tabs>
          <w:tab w:val="left" w:pos="1635"/>
          <w:tab w:val="center" w:pos="4806"/>
        </w:tabs>
        <w:spacing w:after="0" w:line="240" w:lineRule="auto"/>
        <w:ind w:firstLine="720"/>
        <w:rPr>
          <w:rFonts w:ascii="Times New Roman" w:eastAsia="Times New Roman" w:hAnsi="Times New Roman" w:cs="Times New Roman"/>
          <w:bCs/>
        </w:rPr>
      </w:pPr>
      <w:r>
        <w:rPr>
          <w:rFonts w:ascii="Times New Roman" w:eastAsia="Times New Roman" w:hAnsi="Times New Roman" w:cs="Times New Roman"/>
          <w:bCs/>
        </w:rPr>
        <w:t xml:space="preserve">We love the quote attributed to the </w:t>
      </w:r>
      <w:r w:rsidR="009644CD">
        <w:rPr>
          <w:rFonts w:ascii="Times New Roman" w:eastAsia="Times New Roman" w:hAnsi="Times New Roman" w:cs="Times New Roman"/>
          <w:bCs/>
        </w:rPr>
        <w:t>so-called</w:t>
      </w:r>
      <w:r>
        <w:rPr>
          <w:rFonts w:ascii="Times New Roman" w:eastAsia="Times New Roman" w:hAnsi="Times New Roman" w:cs="Times New Roman"/>
          <w:bCs/>
        </w:rPr>
        <w:t xml:space="preserve"> O</w:t>
      </w:r>
      <w:r w:rsidR="009F6A1C">
        <w:rPr>
          <w:rFonts w:ascii="Times New Roman" w:eastAsia="Times New Roman" w:hAnsi="Times New Roman" w:cs="Times New Roman"/>
          <w:bCs/>
        </w:rPr>
        <w:t>racle of Omaha, Warren Buffet</w:t>
      </w:r>
      <w:r w:rsidR="009644CD">
        <w:rPr>
          <w:rFonts w:ascii="Times New Roman" w:eastAsia="Times New Roman" w:hAnsi="Times New Roman" w:cs="Times New Roman"/>
          <w:bCs/>
        </w:rPr>
        <w:t>: “</w:t>
      </w:r>
      <w:r w:rsidR="009F6A1C">
        <w:rPr>
          <w:rFonts w:ascii="Times New Roman" w:eastAsia="Times New Roman" w:hAnsi="Times New Roman" w:cs="Times New Roman"/>
          <w:bCs/>
        </w:rPr>
        <w:t>Be fearful when others are greedy</w:t>
      </w:r>
      <w:r w:rsidR="00D2356D">
        <w:rPr>
          <w:rFonts w:ascii="Times New Roman" w:eastAsia="Times New Roman" w:hAnsi="Times New Roman" w:cs="Times New Roman"/>
          <w:bCs/>
        </w:rPr>
        <w:t>,</w:t>
      </w:r>
      <w:r w:rsidR="009F6A1C">
        <w:rPr>
          <w:rFonts w:ascii="Times New Roman" w:eastAsia="Times New Roman" w:hAnsi="Times New Roman" w:cs="Times New Roman"/>
          <w:bCs/>
        </w:rPr>
        <w:t xml:space="preserve"> and be greedy when others are fearful.</w:t>
      </w:r>
      <w:r w:rsidR="009644CD">
        <w:rPr>
          <w:rFonts w:ascii="Times New Roman" w:eastAsia="Times New Roman" w:hAnsi="Times New Roman" w:cs="Times New Roman"/>
          <w:bCs/>
        </w:rPr>
        <w:t>”</w:t>
      </w:r>
    </w:p>
    <w:p w14:paraId="71DFA701" w14:textId="27E8FCD8" w:rsidR="00A4538E" w:rsidRPr="00A4538E" w:rsidRDefault="00A4538E" w:rsidP="00A4538E">
      <w:pPr>
        <w:tabs>
          <w:tab w:val="left" w:pos="1635"/>
          <w:tab w:val="center" w:pos="4806"/>
        </w:tabs>
        <w:spacing w:after="0" w:line="240" w:lineRule="auto"/>
        <w:rPr>
          <w:rFonts w:ascii="Times New Roman" w:eastAsia="Times New Roman" w:hAnsi="Times New Roman" w:cs="Times New Roman"/>
          <w:bCs/>
        </w:rPr>
      </w:pPr>
      <w:r>
        <w:rPr>
          <w:rFonts w:ascii="Times New Roman" w:eastAsia="Times New Roman" w:hAnsi="Times New Roman" w:cs="Times New Roman"/>
          <w:bCs/>
          <w:lang w:bidi="en-US"/>
        </w:rPr>
        <w:t xml:space="preserve">             </w:t>
      </w:r>
      <w:r w:rsidRPr="00A4538E">
        <w:rPr>
          <w:rFonts w:ascii="Times New Roman" w:eastAsia="Times New Roman" w:hAnsi="Times New Roman" w:cs="Times New Roman"/>
          <w:bCs/>
          <w:lang w:bidi="en-US"/>
        </w:rPr>
        <w:t xml:space="preserve">Thank you for taking the time to read the newsletter and for listening to Money Talk.   </w:t>
      </w:r>
    </w:p>
    <w:p w14:paraId="374F99D5" w14:textId="77777777" w:rsidR="00780EB9" w:rsidRDefault="00780EB9" w:rsidP="00881218">
      <w:pPr>
        <w:tabs>
          <w:tab w:val="left" w:pos="1635"/>
          <w:tab w:val="center" w:pos="4806"/>
        </w:tabs>
        <w:spacing w:after="0" w:line="240" w:lineRule="auto"/>
        <w:rPr>
          <w:rFonts w:ascii="Times New Roman" w:eastAsia="Times New Roman" w:hAnsi="Times New Roman" w:cs="Times New Roman"/>
          <w:bCs/>
        </w:rPr>
      </w:pPr>
    </w:p>
    <w:p w14:paraId="296BB946" w14:textId="6F7932CE" w:rsidR="0091129A" w:rsidRDefault="00F6600E" w:rsidP="0088648F">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 xml:space="preserve">Happy Holidays. </w:t>
      </w:r>
    </w:p>
    <w:p w14:paraId="24AF7664" w14:textId="77777777" w:rsidR="0091129A" w:rsidRDefault="0091129A">
      <w:pPr>
        <w:spacing w:after="0" w:line="240" w:lineRule="auto"/>
        <w:rPr>
          <w:rFonts w:ascii="Times New Roman" w:eastAsia="Times New Roman" w:hAnsi="Times New Roman" w:cs="Times New Roman"/>
        </w:rPr>
      </w:pPr>
    </w:p>
    <w:p w14:paraId="7662D7F9" w14:textId="765160F9" w:rsidR="0091129A" w:rsidRDefault="008529DC">
      <w:pPr>
        <w:tabs>
          <w:tab w:val="left" w:pos="1023"/>
        </w:tabs>
        <w:spacing w:after="0" w:line="240" w:lineRule="auto"/>
        <w:rPr>
          <w:rFonts w:ascii="Times New Roman" w:eastAsia="Times New Roman" w:hAnsi="Times New Roman" w:cs="Times New Roman"/>
        </w:rPr>
      </w:pPr>
      <w:r>
        <w:rPr>
          <w:rFonts w:ascii="Times New Roman" w:eastAsia="Times New Roman" w:hAnsi="Times New Roman" w:cs="Times New Roman"/>
        </w:rPr>
        <w:t>Warm regards,</w:t>
      </w:r>
    </w:p>
    <w:p w14:paraId="4DDEBA3E" w14:textId="77777777" w:rsidR="00D813A6" w:rsidRDefault="00D813A6">
      <w:pPr>
        <w:tabs>
          <w:tab w:val="left" w:pos="1023"/>
        </w:tabs>
        <w:spacing w:after="0" w:line="240" w:lineRule="auto"/>
        <w:rPr>
          <w:rFonts w:ascii="Times New Roman" w:eastAsia="Times New Roman" w:hAnsi="Times New Roman" w:cs="Times New Roman"/>
        </w:rPr>
      </w:pPr>
    </w:p>
    <w:p w14:paraId="48C2CE3A" w14:textId="200A7D42" w:rsidR="0091129A" w:rsidRDefault="00705796">
      <w:pPr>
        <w:spacing w:after="0" w:line="240" w:lineRule="auto"/>
        <w:rPr>
          <w:rFonts w:ascii="Times New Roman" w:eastAsia="Times New Roman" w:hAnsi="Times New Roman" w:cs="Times New Roman"/>
        </w:rPr>
      </w:pPr>
      <w:r w:rsidRPr="00705796">
        <w:rPr>
          <w:rFonts w:ascii="Times New Roman" w:eastAsia="Calibri" w:hAnsi="Times New Roman" w:cs="Times New Roman"/>
          <w:noProof/>
          <w:kern w:val="0"/>
          <w:lang w:bidi="en-US"/>
          <w14:ligatures w14:val="none"/>
        </w:rPr>
        <w:drawing>
          <wp:anchor distT="0" distB="0" distL="114300" distR="114300" simplePos="0" relativeHeight="251658240" behindDoc="0" locked="0" layoutInCell="1" allowOverlap="1" wp14:anchorId="396054DD" wp14:editId="32C34804">
            <wp:simplePos x="0" y="0"/>
            <wp:positionH relativeFrom="column">
              <wp:posOffset>3771900</wp:posOffset>
            </wp:positionH>
            <wp:positionV relativeFrom="paragraph">
              <wp:posOffset>62865</wp:posOffset>
            </wp:positionV>
            <wp:extent cx="1695450" cy="790575"/>
            <wp:effectExtent l="0" t="0" r="0" b="9525"/>
            <wp:wrapNone/>
            <wp:docPr id="459271237"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271237" name="Picture 1" descr="A close-up of a signature&#10;&#10;Description automatically generated"/>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5450" cy="790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29DC">
        <w:object w:dxaOrig="2166" w:dyaOrig="1012" w14:anchorId="03319468">
          <v:rect id="rectole0000000000" o:spid="_x0000_i1025" style="width:108pt;height:50.25pt" o:ole="" o:preferrelative="t" stroked="f">
            <v:imagedata r:id="rId9" o:title=""/>
          </v:rect>
          <o:OLEObject Type="Embed" ProgID="StaticMetafile" ShapeID="rectole0000000000" DrawAspect="Content" ObjectID="_1795943515" r:id="rId10"/>
        </w:object>
      </w:r>
    </w:p>
    <w:p w14:paraId="746E75F6" w14:textId="77777777" w:rsidR="0091129A" w:rsidRDefault="0091129A">
      <w:pPr>
        <w:spacing w:after="0" w:line="240" w:lineRule="auto"/>
        <w:rPr>
          <w:rFonts w:ascii="Times New Roman" w:eastAsia="Times New Roman" w:hAnsi="Times New Roman" w:cs="Times New Roman"/>
        </w:rPr>
      </w:pPr>
    </w:p>
    <w:p w14:paraId="242BE42B" w14:textId="119A112E" w:rsidR="0091129A" w:rsidRDefault="008529DC">
      <w:pPr>
        <w:spacing w:after="0" w:line="240" w:lineRule="auto"/>
        <w:rPr>
          <w:rFonts w:ascii="Times New Roman" w:eastAsia="Times New Roman" w:hAnsi="Times New Roman" w:cs="Times New Roman"/>
        </w:rPr>
      </w:pPr>
      <w:r>
        <w:rPr>
          <w:rFonts w:ascii="Times New Roman" w:eastAsia="Times New Roman" w:hAnsi="Times New Roman" w:cs="Times New Roman"/>
        </w:rPr>
        <w:t>Carl W. Stuart</w:t>
      </w:r>
      <w:r w:rsidR="00705796">
        <w:rPr>
          <w:rFonts w:ascii="Times New Roman" w:eastAsia="Times New Roman" w:hAnsi="Times New Roman" w:cs="Times New Roman"/>
        </w:rPr>
        <w:tab/>
      </w:r>
      <w:r w:rsidR="00705796">
        <w:rPr>
          <w:rFonts w:ascii="Times New Roman" w:eastAsia="Times New Roman" w:hAnsi="Times New Roman" w:cs="Times New Roman"/>
        </w:rPr>
        <w:tab/>
      </w:r>
      <w:r w:rsidR="00705796">
        <w:rPr>
          <w:rFonts w:ascii="Times New Roman" w:eastAsia="Times New Roman" w:hAnsi="Times New Roman" w:cs="Times New Roman"/>
        </w:rPr>
        <w:tab/>
      </w:r>
      <w:r w:rsidR="00705796">
        <w:rPr>
          <w:rFonts w:ascii="Times New Roman" w:eastAsia="Times New Roman" w:hAnsi="Times New Roman" w:cs="Times New Roman"/>
        </w:rPr>
        <w:tab/>
      </w:r>
      <w:r w:rsidR="00705796">
        <w:rPr>
          <w:rFonts w:ascii="Times New Roman" w:eastAsia="Times New Roman" w:hAnsi="Times New Roman" w:cs="Times New Roman"/>
        </w:rPr>
        <w:tab/>
      </w:r>
      <w:r w:rsidR="00705796">
        <w:rPr>
          <w:rFonts w:ascii="Times New Roman" w:eastAsia="Times New Roman" w:hAnsi="Times New Roman" w:cs="Times New Roman"/>
        </w:rPr>
        <w:tab/>
      </w:r>
      <w:r w:rsidR="00705796">
        <w:rPr>
          <w:rFonts w:ascii="Times New Roman" w:eastAsia="Times New Roman" w:hAnsi="Times New Roman" w:cs="Times New Roman"/>
        </w:rPr>
        <w:tab/>
        <w:t xml:space="preserve">         Lindsey Stuart</w:t>
      </w:r>
    </w:p>
    <w:p w14:paraId="1C34D25C" w14:textId="002CBB54" w:rsidR="00705796" w:rsidRDefault="00705796">
      <w:pPr>
        <w:spacing w:after="0" w:line="240" w:lineRule="auto"/>
        <w:rPr>
          <w:rFonts w:ascii="Times New Roman" w:eastAsia="Times New Roman" w:hAnsi="Times New Roman" w:cs="Times New Roman"/>
        </w:rPr>
      </w:pPr>
      <w:r>
        <w:rPr>
          <w:rFonts w:ascii="Times New Roman" w:eastAsia="Times New Roman" w:hAnsi="Times New Roman" w:cs="Times New Roman"/>
        </w:rPr>
        <w:t>Investment Advisor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Investment Advisor</w:t>
      </w:r>
    </w:p>
    <w:p w14:paraId="16C0FA3C" w14:textId="77777777" w:rsidR="00BB0323" w:rsidRDefault="00BB0323">
      <w:pPr>
        <w:spacing w:after="0" w:line="240" w:lineRule="auto"/>
        <w:rPr>
          <w:rFonts w:ascii="Times New Roman" w:eastAsia="Times New Roman" w:hAnsi="Times New Roman" w:cs="Times New Roman"/>
        </w:rPr>
      </w:pPr>
    </w:p>
    <w:p w14:paraId="5ECC91C5" w14:textId="77777777" w:rsidR="0091129A" w:rsidRDefault="008529DC">
      <w:pPr>
        <w:numPr>
          <w:ilvl w:val="0"/>
          <w:numId w:val="1"/>
        </w:numPr>
        <w:spacing w:after="0" w:line="240" w:lineRule="auto"/>
        <w:ind w:hanging="360"/>
        <w:rPr>
          <w:rFonts w:ascii="Times New Roman" w:eastAsia="Times New Roman" w:hAnsi="Times New Roman" w:cs="Times New Roman"/>
          <w:b/>
          <w:sz w:val="22"/>
        </w:rPr>
      </w:pPr>
      <w:r>
        <w:rPr>
          <w:rFonts w:ascii="Times New Roman" w:eastAsia="Times New Roman" w:hAnsi="Times New Roman" w:cs="Times New Roman"/>
          <w:b/>
          <w:sz w:val="22"/>
        </w:rPr>
        <w:t>Past performance is not indicative of future results.</w:t>
      </w:r>
    </w:p>
    <w:p w14:paraId="690119D1" w14:textId="77777777" w:rsidR="0091129A" w:rsidRDefault="008529DC">
      <w:pPr>
        <w:numPr>
          <w:ilvl w:val="0"/>
          <w:numId w:val="1"/>
        </w:numPr>
        <w:spacing w:after="0" w:line="240" w:lineRule="auto"/>
        <w:ind w:hanging="360"/>
        <w:rPr>
          <w:rFonts w:ascii="Times New Roman" w:eastAsia="Times New Roman" w:hAnsi="Times New Roman" w:cs="Times New Roman"/>
          <w:b/>
          <w:sz w:val="16"/>
        </w:rPr>
      </w:pPr>
      <w:r>
        <w:rPr>
          <w:rFonts w:ascii="Times New Roman" w:eastAsia="Times New Roman" w:hAnsi="Times New Roman" w:cs="Times New Roman"/>
          <w:sz w:val="16"/>
        </w:rPr>
        <w:t xml:space="preserve">The Dow Jones Industrials is an index of 30 stocks that is considered representative of the overall market. </w:t>
      </w:r>
    </w:p>
    <w:p w14:paraId="6A484C4D" w14:textId="77777777" w:rsidR="0091129A" w:rsidRDefault="008529DC">
      <w:pPr>
        <w:numPr>
          <w:ilvl w:val="0"/>
          <w:numId w:val="1"/>
        </w:numPr>
        <w:spacing w:after="0" w:line="240" w:lineRule="auto"/>
        <w:ind w:hanging="360"/>
        <w:rPr>
          <w:rFonts w:ascii="Times New Roman" w:eastAsia="Times New Roman" w:hAnsi="Times New Roman" w:cs="Times New Roman"/>
          <w:sz w:val="16"/>
        </w:rPr>
      </w:pPr>
      <w:r>
        <w:rPr>
          <w:rFonts w:ascii="Times New Roman" w:eastAsia="Times New Roman" w:hAnsi="Times New Roman" w:cs="Times New Roman"/>
          <w:sz w:val="16"/>
        </w:rPr>
        <w:t xml:space="preserve">The S&amp;P 500 is an unmanaged index of 500 widely held stocks that’s generally considered representative </w:t>
      </w:r>
    </w:p>
    <w:p w14:paraId="72A41CF5" w14:textId="77777777" w:rsidR="0091129A" w:rsidRDefault="008529DC">
      <w:pPr>
        <w:spacing w:after="0" w:line="240" w:lineRule="auto"/>
        <w:rPr>
          <w:rFonts w:ascii="Times New Roman" w:eastAsia="Times New Roman" w:hAnsi="Times New Roman" w:cs="Times New Roman"/>
          <w:sz w:val="16"/>
        </w:rPr>
      </w:pPr>
      <w:r>
        <w:rPr>
          <w:rFonts w:ascii="Times New Roman" w:eastAsia="Times New Roman" w:hAnsi="Times New Roman" w:cs="Times New Roman"/>
          <w:sz w:val="16"/>
        </w:rPr>
        <w:t>of the U.S. stock market.</w:t>
      </w:r>
    </w:p>
    <w:p w14:paraId="1CF7CDEE" w14:textId="77777777" w:rsidR="0091129A" w:rsidRDefault="008529DC">
      <w:pPr>
        <w:numPr>
          <w:ilvl w:val="0"/>
          <w:numId w:val="2"/>
        </w:numPr>
        <w:spacing w:after="0" w:line="240" w:lineRule="auto"/>
        <w:ind w:hanging="360"/>
        <w:rPr>
          <w:rFonts w:ascii="Times New Roman" w:eastAsia="Times New Roman" w:hAnsi="Times New Roman" w:cs="Times New Roman"/>
          <w:sz w:val="16"/>
        </w:rPr>
      </w:pPr>
      <w:r>
        <w:rPr>
          <w:rFonts w:ascii="Times New Roman" w:eastAsia="Times New Roman" w:hAnsi="Times New Roman" w:cs="Times New Roman"/>
          <w:sz w:val="16"/>
        </w:rPr>
        <w:t>The NASDAQ composite is an unmanaged index of securities traded on the NASDAQ system.</w:t>
      </w:r>
    </w:p>
    <w:p w14:paraId="69A3DEBA" w14:textId="77777777" w:rsidR="0091129A" w:rsidRDefault="008529DC">
      <w:pPr>
        <w:numPr>
          <w:ilvl w:val="0"/>
          <w:numId w:val="2"/>
        </w:numPr>
        <w:spacing w:after="0" w:line="240" w:lineRule="auto"/>
        <w:ind w:hanging="360"/>
        <w:rPr>
          <w:rFonts w:ascii="Times New Roman" w:eastAsia="Times New Roman" w:hAnsi="Times New Roman" w:cs="Times New Roman"/>
          <w:sz w:val="16"/>
        </w:rPr>
      </w:pPr>
      <w:r>
        <w:rPr>
          <w:rFonts w:ascii="Times New Roman" w:eastAsia="Times New Roman" w:hAnsi="Times New Roman" w:cs="Times New Roman"/>
          <w:sz w:val="16"/>
        </w:rPr>
        <w:t xml:space="preserve">The Russell 1000 Growth Index measures the performance of those Russell 1000 companies with higher price-to-book ratios and higher forecasted growth values. </w:t>
      </w:r>
    </w:p>
    <w:p w14:paraId="4EA47969" w14:textId="77777777" w:rsidR="0091129A" w:rsidRDefault="008529DC">
      <w:pPr>
        <w:numPr>
          <w:ilvl w:val="0"/>
          <w:numId w:val="2"/>
        </w:numPr>
        <w:spacing w:after="0" w:line="240" w:lineRule="auto"/>
        <w:ind w:hanging="360"/>
        <w:rPr>
          <w:rFonts w:ascii="Times New Roman" w:eastAsia="Times New Roman" w:hAnsi="Times New Roman" w:cs="Times New Roman"/>
          <w:sz w:val="16"/>
        </w:rPr>
      </w:pPr>
      <w:r>
        <w:rPr>
          <w:rFonts w:ascii="Times New Roman" w:eastAsia="Times New Roman" w:hAnsi="Times New Roman" w:cs="Times New Roman"/>
          <w:sz w:val="16"/>
        </w:rPr>
        <w:lastRenderedPageBreak/>
        <w:t>The Russell 1000 Value Index measures the performance of those Russell 1000 companies with lower price-to-book ratios and lower forecasted growth values.</w:t>
      </w:r>
    </w:p>
    <w:p w14:paraId="16D283F1" w14:textId="77777777" w:rsidR="0091129A" w:rsidRDefault="008529DC">
      <w:pPr>
        <w:numPr>
          <w:ilvl w:val="0"/>
          <w:numId w:val="2"/>
        </w:numPr>
        <w:spacing w:after="0" w:line="240" w:lineRule="auto"/>
        <w:ind w:hanging="360"/>
        <w:rPr>
          <w:rFonts w:ascii="Times New Roman" w:eastAsia="Times New Roman" w:hAnsi="Times New Roman" w:cs="Times New Roman"/>
          <w:sz w:val="16"/>
        </w:rPr>
      </w:pPr>
      <w:r>
        <w:rPr>
          <w:rFonts w:ascii="Times New Roman" w:eastAsia="Times New Roman" w:hAnsi="Times New Roman" w:cs="Times New Roman"/>
          <w:sz w:val="16"/>
        </w:rPr>
        <w:t>The Russell 2000 Index is an unmanaged index of small cap securities which generally involve greater risks.</w:t>
      </w:r>
    </w:p>
    <w:p w14:paraId="251C8361" w14:textId="77777777" w:rsidR="0091129A" w:rsidRDefault="008529DC">
      <w:pPr>
        <w:numPr>
          <w:ilvl w:val="0"/>
          <w:numId w:val="2"/>
        </w:numPr>
        <w:spacing w:after="0" w:line="240" w:lineRule="auto"/>
        <w:ind w:hanging="360"/>
        <w:rPr>
          <w:rFonts w:ascii="Times New Roman" w:eastAsia="Times New Roman" w:hAnsi="Times New Roman" w:cs="Times New Roman"/>
          <w:sz w:val="16"/>
        </w:rPr>
      </w:pPr>
      <w:r>
        <w:rPr>
          <w:rFonts w:ascii="Times New Roman" w:eastAsia="Times New Roman" w:hAnsi="Times New Roman" w:cs="Times New Roman"/>
          <w:sz w:val="16"/>
        </w:rPr>
        <w:t>The Russell 2000 Growth Index measures the performance of the small-cap growth segment of the U.S. equities.</w:t>
      </w:r>
    </w:p>
    <w:p w14:paraId="51E8D703" w14:textId="77777777" w:rsidR="0091129A" w:rsidRDefault="008529DC">
      <w:pPr>
        <w:numPr>
          <w:ilvl w:val="0"/>
          <w:numId w:val="2"/>
        </w:numPr>
        <w:spacing w:after="0" w:line="240" w:lineRule="auto"/>
        <w:ind w:hanging="360"/>
        <w:rPr>
          <w:rFonts w:ascii="Times New Roman" w:eastAsia="Times New Roman" w:hAnsi="Times New Roman" w:cs="Times New Roman"/>
          <w:sz w:val="16"/>
        </w:rPr>
      </w:pPr>
      <w:r>
        <w:rPr>
          <w:rFonts w:ascii="Times New Roman" w:eastAsia="Times New Roman" w:hAnsi="Times New Roman" w:cs="Times New Roman"/>
          <w:sz w:val="16"/>
        </w:rPr>
        <w:t>The Russell 2000 Value Index measures the performance of the small-cap value segment of the U.S. equities.</w:t>
      </w:r>
    </w:p>
    <w:p w14:paraId="6C8D5F76" w14:textId="77777777" w:rsidR="0091129A" w:rsidRDefault="008529DC">
      <w:pPr>
        <w:numPr>
          <w:ilvl w:val="0"/>
          <w:numId w:val="2"/>
        </w:numPr>
        <w:spacing w:after="0" w:line="240" w:lineRule="auto"/>
        <w:ind w:hanging="360"/>
        <w:rPr>
          <w:rFonts w:ascii="Times New Roman" w:eastAsia="Times New Roman" w:hAnsi="Times New Roman" w:cs="Times New Roman"/>
          <w:sz w:val="16"/>
        </w:rPr>
      </w:pPr>
      <w:r>
        <w:rPr>
          <w:rFonts w:ascii="Times New Roman" w:eastAsia="Times New Roman" w:hAnsi="Times New Roman" w:cs="Times New Roman"/>
          <w:sz w:val="16"/>
        </w:rPr>
        <w:t>The Bloomberg U.S. Aggregate Bond Index is an unmanaged market value weighted performance benchmark for investment-grade fixed rate debt issues, including government, corporate, asset backed, mortgage backed securities with a maturity of at least 1 year.</w:t>
      </w:r>
    </w:p>
    <w:p w14:paraId="069415C0" w14:textId="77777777" w:rsidR="0091129A" w:rsidRDefault="008529DC">
      <w:pPr>
        <w:numPr>
          <w:ilvl w:val="0"/>
          <w:numId w:val="2"/>
        </w:numPr>
        <w:spacing w:after="0" w:line="240" w:lineRule="auto"/>
        <w:ind w:left="-360"/>
        <w:rPr>
          <w:rFonts w:ascii="Times New Roman" w:eastAsia="Times New Roman" w:hAnsi="Times New Roman" w:cs="Times New Roman"/>
          <w:sz w:val="16"/>
        </w:rPr>
      </w:pPr>
      <w:r>
        <w:rPr>
          <w:rFonts w:ascii="Times New Roman" w:eastAsia="Times New Roman" w:hAnsi="Times New Roman" w:cs="Times New Roman"/>
          <w:sz w:val="16"/>
        </w:rPr>
        <w:t xml:space="preserve">All investing involves some degree of risk, investors may incur a profit or loss regardless of the strategy or strategies employed. </w:t>
      </w:r>
    </w:p>
    <w:p w14:paraId="376C7553" w14:textId="28F3F30B" w:rsidR="00CF3234" w:rsidRDefault="008529DC" w:rsidP="00D2356D">
      <w:pPr>
        <w:spacing w:after="0" w:line="240" w:lineRule="auto"/>
        <w:rPr>
          <w:rFonts w:ascii="Times New Roman" w:eastAsia="Times New Roman" w:hAnsi="Times New Roman" w:cs="Times New Roman"/>
          <w:sz w:val="16"/>
        </w:rPr>
      </w:pPr>
      <w:r>
        <w:rPr>
          <w:rFonts w:ascii="Times New Roman" w:eastAsia="Times New Roman" w:hAnsi="Times New Roman" w:cs="Times New Roman"/>
          <w:sz w:val="16"/>
        </w:rPr>
        <w:t>Investments mentioned may not be suitable for all investors.</w:t>
      </w:r>
    </w:p>
    <w:sectPr w:rsidR="00CF3234" w:rsidSect="00300398">
      <w:footerReference w:type="default" r:id="rId11"/>
      <w:footerReference w:type="first" r:id="rId12"/>
      <w:pgSz w:w="12240" w:h="15840"/>
      <w:pgMar w:top="1440" w:right="1440" w:bottom="1440" w:left="1440" w:header="720" w:footer="720" w:gutter="0"/>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CFCCBC" w14:textId="77777777" w:rsidR="00960EB5" w:rsidRDefault="00960EB5" w:rsidP="00300398">
      <w:pPr>
        <w:spacing w:after="0" w:line="240" w:lineRule="auto"/>
      </w:pPr>
      <w:r>
        <w:separator/>
      </w:r>
    </w:p>
  </w:endnote>
  <w:endnote w:type="continuationSeparator" w:id="0">
    <w:p w14:paraId="7EA1C677" w14:textId="77777777" w:rsidR="00960EB5" w:rsidRDefault="00960EB5" w:rsidP="00300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B5854" w14:textId="36EA6D70" w:rsidR="00300398" w:rsidRPr="00300398" w:rsidRDefault="00300398">
    <w:pPr>
      <w:pStyle w:val="Footer"/>
      <w:jc w:val="center"/>
      <w:rPr>
        <w:rFonts w:ascii="Times New Roman" w:hAnsi="Times New Roman" w:cs="Times New Roman"/>
      </w:rPr>
    </w:pPr>
  </w:p>
  <w:p w14:paraId="4F76BC0D" w14:textId="77777777" w:rsidR="00300398" w:rsidRDefault="003003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F34D4" w14:textId="4A1B62FC" w:rsidR="00300398" w:rsidRPr="00300398" w:rsidRDefault="00300398">
    <w:pPr>
      <w:pStyle w:val="Footer"/>
      <w:rPr>
        <w:rFonts w:ascii="Times New Roman" w:hAnsi="Times New Roman" w:cs="Times New Roman"/>
      </w:rPr>
    </w:pPr>
    <w:r>
      <w:tab/>
    </w:r>
    <w:r w:rsidR="00A4538E">
      <w:rPr>
        <w:rFonts w:ascii="Times New Roman" w:hAnsi="Times New Roman" w:cs="Times New Roma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140EA7" w14:textId="77777777" w:rsidR="00960EB5" w:rsidRDefault="00960EB5" w:rsidP="00300398">
      <w:pPr>
        <w:spacing w:after="0" w:line="240" w:lineRule="auto"/>
      </w:pPr>
      <w:r>
        <w:separator/>
      </w:r>
    </w:p>
  </w:footnote>
  <w:footnote w:type="continuationSeparator" w:id="0">
    <w:p w14:paraId="355D34BA" w14:textId="77777777" w:rsidR="00960EB5" w:rsidRDefault="00960EB5" w:rsidP="003003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E6422"/>
    <w:multiLevelType w:val="multilevel"/>
    <w:tmpl w:val="91A286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9F42660"/>
    <w:multiLevelType w:val="hybridMultilevel"/>
    <w:tmpl w:val="0EA4F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DA1F94"/>
    <w:multiLevelType w:val="multilevel"/>
    <w:tmpl w:val="66BCBE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0CB45D5"/>
    <w:multiLevelType w:val="hybridMultilevel"/>
    <w:tmpl w:val="73E8F8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1A860E9"/>
    <w:multiLevelType w:val="hybridMultilevel"/>
    <w:tmpl w:val="C1A8F268"/>
    <w:lvl w:ilvl="0" w:tplc="FFFFFFFF">
      <w:start w:val="1"/>
      <w:numFmt w:val="decimal"/>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EB35393"/>
    <w:multiLevelType w:val="multilevel"/>
    <w:tmpl w:val="F17CC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CF17283"/>
    <w:multiLevelType w:val="hybridMultilevel"/>
    <w:tmpl w:val="CB84454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7D9C2E56"/>
    <w:multiLevelType w:val="hybridMultilevel"/>
    <w:tmpl w:val="CBC6ED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A0132C"/>
    <w:multiLevelType w:val="hybridMultilevel"/>
    <w:tmpl w:val="610C9A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6363097">
    <w:abstractNumId w:val="2"/>
  </w:num>
  <w:num w:numId="2" w16cid:durableId="940139552">
    <w:abstractNumId w:val="0"/>
  </w:num>
  <w:num w:numId="3" w16cid:durableId="442699619">
    <w:abstractNumId w:val="8"/>
  </w:num>
  <w:num w:numId="4" w16cid:durableId="1164395049">
    <w:abstractNumId w:val="3"/>
  </w:num>
  <w:num w:numId="5" w16cid:durableId="391538305">
    <w:abstractNumId w:val="1"/>
  </w:num>
  <w:num w:numId="6" w16cid:durableId="687220401">
    <w:abstractNumId w:val="7"/>
  </w:num>
  <w:num w:numId="7" w16cid:durableId="329260516">
    <w:abstractNumId w:val="4"/>
  </w:num>
  <w:num w:numId="8" w16cid:durableId="1643727779">
    <w:abstractNumId w:val="6"/>
  </w:num>
  <w:num w:numId="9" w16cid:durableId="12948682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29A"/>
    <w:rsid w:val="000047BA"/>
    <w:rsid w:val="00005638"/>
    <w:rsid w:val="0001520C"/>
    <w:rsid w:val="0002339C"/>
    <w:rsid w:val="000400C1"/>
    <w:rsid w:val="00041CAC"/>
    <w:rsid w:val="0009105A"/>
    <w:rsid w:val="000B5CFE"/>
    <w:rsid w:val="000C4795"/>
    <w:rsid w:val="000D0CFC"/>
    <w:rsid w:val="000D285A"/>
    <w:rsid w:val="000E2A8D"/>
    <w:rsid w:val="000E5F0C"/>
    <w:rsid w:val="00135C14"/>
    <w:rsid w:val="00153DC6"/>
    <w:rsid w:val="00170F52"/>
    <w:rsid w:val="001733C6"/>
    <w:rsid w:val="001860CA"/>
    <w:rsid w:val="00193A17"/>
    <w:rsid w:val="001B7F3E"/>
    <w:rsid w:val="001E000B"/>
    <w:rsid w:val="001E6DF2"/>
    <w:rsid w:val="001E70F8"/>
    <w:rsid w:val="001F4239"/>
    <w:rsid w:val="00211475"/>
    <w:rsid w:val="0022255B"/>
    <w:rsid w:val="002303A6"/>
    <w:rsid w:val="00233DCC"/>
    <w:rsid w:val="00234DB7"/>
    <w:rsid w:val="00240247"/>
    <w:rsid w:val="00244184"/>
    <w:rsid w:val="002500D9"/>
    <w:rsid w:val="00251593"/>
    <w:rsid w:val="002555C4"/>
    <w:rsid w:val="002564F0"/>
    <w:rsid w:val="0026257B"/>
    <w:rsid w:val="002805BD"/>
    <w:rsid w:val="00284CEF"/>
    <w:rsid w:val="002A2E7D"/>
    <w:rsid w:val="002A2ED2"/>
    <w:rsid w:val="002A3A54"/>
    <w:rsid w:val="002A5061"/>
    <w:rsid w:val="002B3503"/>
    <w:rsid w:val="002D03ED"/>
    <w:rsid w:val="002E6A30"/>
    <w:rsid w:val="002F6F5B"/>
    <w:rsid w:val="00300398"/>
    <w:rsid w:val="003041A2"/>
    <w:rsid w:val="003130B4"/>
    <w:rsid w:val="00316BED"/>
    <w:rsid w:val="00342ED6"/>
    <w:rsid w:val="00345159"/>
    <w:rsid w:val="00350D80"/>
    <w:rsid w:val="00354E59"/>
    <w:rsid w:val="0036481B"/>
    <w:rsid w:val="00365CE5"/>
    <w:rsid w:val="00385D88"/>
    <w:rsid w:val="00397C60"/>
    <w:rsid w:val="003A0655"/>
    <w:rsid w:val="003B23CB"/>
    <w:rsid w:val="003B54A2"/>
    <w:rsid w:val="003C0F0B"/>
    <w:rsid w:val="003C71AF"/>
    <w:rsid w:val="003D0771"/>
    <w:rsid w:val="003D23A3"/>
    <w:rsid w:val="003D5775"/>
    <w:rsid w:val="003E0F2F"/>
    <w:rsid w:val="003E3399"/>
    <w:rsid w:val="003F0044"/>
    <w:rsid w:val="003F02F9"/>
    <w:rsid w:val="0040330F"/>
    <w:rsid w:val="00440527"/>
    <w:rsid w:val="00445DDB"/>
    <w:rsid w:val="0045074E"/>
    <w:rsid w:val="00453651"/>
    <w:rsid w:val="00464951"/>
    <w:rsid w:val="00473AD1"/>
    <w:rsid w:val="004A7F01"/>
    <w:rsid w:val="004B346C"/>
    <w:rsid w:val="004B362E"/>
    <w:rsid w:val="004B3D75"/>
    <w:rsid w:val="004B6B72"/>
    <w:rsid w:val="004C39CC"/>
    <w:rsid w:val="004C54F5"/>
    <w:rsid w:val="004D7331"/>
    <w:rsid w:val="004F1FA2"/>
    <w:rsid w:val="004F3F87"/>
    <w:rsid w:val="00532A89"/>
    <w:rsid w:val="005431A7"/>
    <w:rsid w:val="00553D1E"/>
    <w:rsid w:val="00553E58"/>
    <w:rsid w:val="00556B6B"/>
    <w:rsid w:val="00586F53"/>
    <w:rsid w:val="005A2A75"/>
    <w:rsid w:val="005B2AB4"/>
    <w:rsid w:val="005B4CE5"/>
    <w:rsid w:val="005C3BAA"/>
    <w:rsid w:val="005C7F35"/>
    <w:rsid w:val="005D4C8E"/>
    <w:rsid w:val="005E26AB"/>
    <w:rsid w:val="005F0B65"/>
    <w:rsid w:val="006037D4"/>
    <w:rsid w:val="006201CA"/>
    <w:rsid w:val="0063037D"/>
    <w:rsid w:val="0063361B"/>
    <w:rsid w:val="00643C57"/>
    <w:rsid w:val="00653989"/>
    <w:rsid w:val="00653F0C"/>
    <w:rsid w:val="00683610"/>
    <w:rsid w:val="006927F5"/>
    <w:rsid w:val="0069340A"/>
    <w:rsid w:val="0069550C"/>
    <w:rsid w:val="00697C42"/>
    <w:rsid w:val="006B0EAB"/>
    <w:rsid w:val="006B3687"/>
    <w:rsid w:val="006B625E"/>
    <w:rsid w:val="006B6E63"/>
    <w:rsid w:val="006B6F8C"/>
    <w:rsid w:val="006C39C1"/>
    <w:rsid w:val="006C4259"/>
    <w:rsid w:val="006E7734"/>
    <w:rsid w:val="006E7F26"/>
    <w:rsid w:val="0070179A"/>
    <w:rsid w:val="00705796"/>
    <w:rsid w:val="00710B20"/>
    <w:rsid w:val="00711D96"/>
    <w:rsid w:val="0071368B"/>
    <w:rsid w:val="007148C3"/>
    <w:rsid w:val="00730F21"/>
    <w:rsid w:val="00736970"/>
    <w:rsid w:val="007507C7"/>
    <w:rsid w:val="00754CE8"/>
    <w:rsid w:val="00754DBD"/>
    <w:rsid w:val="00761097"/>
    <w:rsid w:val="007615BA"/>
    <w:rsid w:val="0077257C"/>
    <w:rsid w:val="0077579D"/>
    <w:rsid w:val="00775A95"/>
    <w:rsid w:val="00776A47"/>
    <w:rsid w:val="00776E55"/>
    <w:rsid w:val="00777CE0"/>
    <w:rsid w:val="00780EB9"/>
    <w:rsid w:val="0079759B"/>
    <w:rsid w:val="00797C62"/>
    <w:rsid w:val="007D2BE9"/>
    <w:rsid w:val="007E1FB3"/>
    <w:rsid w:val="007F2176"/>
    <w:rsid w:val="008158BD"/>
    <w:rsid w:val="00825BB1"/>
    <w:rsid w:val="00825E16"/>
    <w:rsid w:val="008270A0"/>
    <w:rsid w:val="008355E3"/>
    <w:rsid w:val="008428E2"/>
    <w:rsid w:val="00846192"/>
    <w:rsid w:val="008529DC"/>
    <w:rsid w:val="0086288A"/>
    <w:rsid w:val="00865289"/>
    <w:rsid w:val="0086770F"/>
    <w:rsid w:val="00867EDF"/>
    <w:rsid w:val="00875A2D"/>
    <w:rsid w:val="00881218"/>
    <w:rsid w:val="0088648F"/>
    <w:rsid w:val="00892AC4"/>
    <w:rsid w:val="00894534"/>
    <w:rsid w:val="008A3A1E"/>
    <w:rsid w:val="008A4336"/>
    <w:rsid w:val="008A4785"/>
    <w:rsid w:val="008A6265"/>
    <w:rsid w:val="008A6C30"/>
    <w:rsid w:val="008B36A6"/>
    <w:rsid w:val="008C24B1"/>
    <w:rsid w:val="008D2518"/>
    <w:rsid w:val="008D2CDF"/>
    <w:rsid w:val="008E73C8"/>
    <w:rsid w:val="008F191E"/>
    <w:rsid w:val="008F32A2"/>
    <w:rsid w:val="008F4662"/>
    <w:rsid w:val="0091129A"/>
    <w:rsid w:val="0092091C"/>
    <w:rsid w:val="0093015B"/>
    <w:rsid w:val="00936B57"/>
    <w:rsid w:val="009436BE"/>
    <w:rsid w:val="00945F61"/>
    <w:rsid w:val="00960EB5"/>
    <w:rsid w:val="009644CD"/>
    <w:rsid w:val="00982193"/>
    <w:rsid w:val="00993E66"/>
    <w:rsid w:val="009A43AE"/>
    <w:rsid w:val="009B1897"/>
    <w:rsid w:val="009B4933"/>
    <w:rsid w:val="009B6071"/>
    <w:rsid w:val="009B7502"/>
    <w:rsid w:val="009C7C6E"/>
    <w:rsid w:val="009E000D"/>
    <w:rsid w:val="009E1CD0"/>
    <w:rsid w:val="009E4D69"/>
    <w:rsid w:val="009F56F7"/>
    <w:rsid w:val="009F6A1C"/>
    <w:rsid w:val="00A01385"/>
    <w:rsid w:val="00A04952"/>
    <w:rsid w:val="00A2631A"/>
    <w:rsid w:val="00A4538E"/>
    <w:rsid w:val="00A60C3A"/>
    <w:rsid w:val="00A72B6F"/>
    <w:rsid w:val="00A75E00"/>
    <w:rsid w:val="00A80B38"/>
    <w:rsid w:val="00A91BBF"/>
    <w:rsid w:val="00A964FE"/>
    <w:rsid w:val="00AD50A8"/>
    <w:rsid w:val="00AF14F2"/>
    <w:rsid w:val="00AF7BAF"/>
    <w:rsid w:val="00B0097C"/>
    <w:rsid w:val="00B02D95"/>
    <w:rsid w:val="00B403D5"/>
    <w:rsid w:val="00B40D19"/>
    <w:rsid w:val="00B457C1"/>
    <w:rsid w:val="00B504F1"/>
    <w:rsid w:val="00B60843"/>
    <w:rsid w:val="00B6582D"/>
    <w:rsid w:val="00B7150D"/>
    <w:rsid w:val="00B8230A"/>
    <w:rsid w:val="00B8702F"/>
    <w:rsid w:val="00B91C6B"/>
    <w:rsid w:val="00B95E53"/>
    <w:rsid w:val="00BA06C3"/>
    <w:rsid w:val="00BA1B78"/>
    <w:rsid w:val="00BA2530"/>
    <w:rsid w:val="00BA6854"/>
    <w:rsid w:val="00BB0323"/>
    <w:rsid w:val="00BB0FBB"/>
    <w:rsid w:val="00BB76D0"/>
    <w:rsid w:val="00BD3C41"/>
    <w:rsid w:val="00BE132A"/>
    <w:rsid w:val="00BE51B6"/>
    <w:rsid w:val="00BF0770"/>
    <w:rsid w:val="00BF6206"/>
    <w:rsid w:val="00C16C68"/>
    <w:rsid w:val="00C41D30"/>
    <w:rsid w:val="00C50B40"/>
    <w:rsid w:val="00C641F6"/>
    <w:rsid w:val="00C72B57"/>
    <w:rsid w:val="00C8507B"/>
    <w:rsid w:val="00CC2426"/>
    <w:rsid w:val="00CC2FE3"/>
    <w:rsid w:val="00CC3229"/>
    <w:rsid w:val="00CC3FE1"/>
    <w:rsid w:val="00CE3349"/>
    <w:rsid w:val="00CF3234"/>
    <w:rsid w:val="00CF4B40"/>
    <w:rsid w:val="00D1433A"/>
    <w:rsid w:val="00D176FF"/>
    <w:rsid w:val="00D21D3D"/>
    <w:rsid w:val="00D2356D"/>
    <w:rsid w:val="00D26686"/>
    <w:rsid w:val="00D40AB0"/>
    <w:rsid w:val="00D53EAD"/>
    <w:rsid w:val="00D55DA7"/>
    <w:rsid w:val="00D6308D"/>
    <w:rsid w:val="00D64AFB"/>
    <w:rsid w:val="00D67391"/>
    <w:rsid w:val="00D704D1"/>
    <w:rsid w:val="00D73349"/>
    <w:rsid w:val="00D76F87"/>
    <w:rsid w:val="00D813A6"/>
    <w:rsid w:val="00D95D5E"/>
    <w:rsid w:val="00D95F7C"/>
    <w:rsid w:val="00D972E8"/>
    <w:rsid w:val="00DA425D"/>
    <w:rsid w:val="00DB094B"/>
    <w:rsid w:val="00DC35FA"/>
    <w:rsid w:val="00DD286A"/>
    <w:rsid w:val="00DD7693"/>
    <w:rsid w:val="00E00193"/>
    <w:rsid w:val="00E01A97"/>
    <w:rsid w:val="00E114B4"/>
    <w:rsid w:val="00E14ADE"/>
    <w:rsid w:val="00E40E35"/>
    <w:rsid w:val="00E47592"/>
    <w:rsid w:val="00E52B2A"/>
    <w:rsid w:val="00E54309"/>
    <w:rsid w:val="00E6229C"/>
    <w:rsid w:val="00E62D9A"/>
    <w:rsid w:val="00E72011"/>
    <w:rsid w:val="00E76B6B"/>
    <w:rsid w:val="00E85AB7"/>
    <w:rsid w:val="00EB363F"/>
    <w:rsid w:val="00EE1F17"/>
    <w:rsid w:val="00EE5357"/>
    <w:rsid w:val="00EF17EE"/>
    <w:rsid w:val="00EF4851"/>
    <w:rsid w:val="00EF6C6F"/>
    <w:rsid w:val="00F044CA"/>
    <w:rsid w:val="00F17C03"/>
    <w:rsid w:val="00F20F7E"/>
    <w:rsid w:val="00F45046"/>
    <w:rsid w:val="00F5758E"/>
    <w:rsid w:val="00F6600E"/>
    <w:rsid w:val="00F95863"/>
    <w:rsid w:val="00FA3C9A"/>
    <w:rsid w:val="00FA7481"/>
    <w:rsid w:val="00FC59C1"/>
    <w:rsid w:val="00FD09C3"/>
    <w:rsid w:val="00FD10DD"/>
    <w:rsid w:val="00FD4911"/>
    <w:rsid w:val="00FE2EAA"/>
    <w:rsid w:val="00FF1CC2"/>
    <w:rsid w:val="00FF3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3E618"/>
  <w15:docId w15:val="{3A4CB5E7-AFCB-4A2C-9EB7-3DA67A5AE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4E59"/>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64FE"/>
    <w:pPr>
      <w:spacing w:after="0" w:line="240" w:lineRule="auto"/>
    </w:pPr>
  </w:style>
  <w:style w:type="paragraph" w:styleId="NormalWeb">
    <w:name w:val="Normal (Web)"/>
    <w:basedOn w:val="Normal"/>
    <w:uiPriority w:val="99"/>
    <w:unhideWhenUsed/>
    <w:rsid w:val="008A6265"/>
    <w:rPr>
      <w:rFonts w:ascii="Times New Roman" w:hAnsi="Times New Roman" w:cs="Times New Roman"/>
    </w:rPr>
  </w:style>
  <w:style w:type="character" w:styleId="CommentReference">
    <w:name w:val="annotation reference"/>
    <w:basedOn w:val="DefaultParagraphFont"/>
    <w:uiPriority w:val="99"/>
    <w:semiHidden/>
    <w:unhideWhenUsed/>
    <w:rsid w:val="008E73C8"/>
    <w:rPr>
      <w:sz w:val="16"/>
      <w:szCs w:val="16"/>
    </w:rPr>
  </w:style>
  <w:style w:type="paragraph" w:styleId="CommentText">
    <w:name w:val="annotation text"/>
    <w:basedOn w:val="Normal"/>
    <w:link w:val="CommentTextChar"/>
    <w:uiPriority w:val="99"/>
    <w:unhideWhenUsed/>
    <w:rsid w:val="008E73C8"/>
    <w:pPr>
      <w:spacing w:line="240" w:lineRule="auto"/>
    </w:pPr>
    <w:rPr>
      <w:sz w:val="20"/>
      <w:szCs w:val="20"/>
    </w:rPr>
  </w:style>
  <w:style w:type="character" w:customStyle="1" w:styleId="CommentTextChar">
    <w:name w:val="Comment Text Char"/>
    <w:basedOn w:val="DefaultParagraphFont"/>
    <w:link w:val="CommentText"/>
    <w:uiPriority w:val="99"/>
    <w:rsid w:val="008E73C8"/>
    <w:rPr>
      <w:sz w:val="20"/>
      <w:szCs w:val="20"/>
    </w:rPr>
  </w:style>
  <w:style w:type="paragraph" w:styleId="CommentSubject">
    <w:name w:val="annotation subject"/>
    <w:basedOn w:val="CommentText"/>
    <w:next w:val="CommentText"/>
    <w:link w:val="CommentSubjectChar"/>
    <w:uiPriority w:val="99"/>
    <w:semiHidden/>
    <w:unhideWhenUsed/>
    <w:rsid w:val="008E73C8"/>
    <w:rPr>
      <w:b/>
      <w:bCs/>
    </w:rPr>
  </w:style>
  <w:style w:type="character" w:customStyle="1" w:styleId="CommentSubjectChar">
    <w:name w:val="Comment Subject Char"/>
    <w:basedOn w:val="CommentTextChar"/>
    <w:link w:val="CommentSubject"/>
    <w:uiPriority w:val="99"/>
    <w:semiHidden/>
    <w:rsid w:val="008E73C8"/>
    <w:rPr>
      <w:b/>
      <w:bCs/>
      <w:sz w:val="20"/>
      <w:szCs w:val="20"/>
    </w:rPr>
  </w:style>
  <w:style w:type="paragraph" w:styleId="ListParagraph">
    <w:name w:val="List Paragraph"/>
    <w:basedOn w:val="Normal"/>
    <w:uiPriority w:val="34"/>
    <w:qFormat/>
    <w:rsid w:val="00C641F6"/>
    <w:pPr>
      <w:spacing w:line="259" w:lineRule="auto"/>
      <w:ind w:left="720"/>
      <w:contextualSpacing/>
    </w:pPr>
    <w:rPr>
      <w:rFonts w:eastAsiaTheme="minorHAnsi"/>
      <w:sz w:val="22"/>
      <w:szCs w:val="22"/>
    </w:rPr>
  </w:style>
  <w:style w:type="paragraph" w:styleId="Header">
    <w:name w:val="header"/>
    <w:basedOn w:val="Normal"/>
    <w:link w:val="HeaderChar"/>
    <w:uiPriority w:val="99"/>
    <w:unhideWhenUsed/>
    <w:rsid w:val="003003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0398"/>
  </w:style>
  <w:style w:type="paragraph" w:styleId="Footer">
    <w:name w:val="footer"/>
    <w:basedOn w:val="Normal"/>
    <w:link w:val="FooterChar"/>
    <w:uiPriority w:val="99"/>
    <w:unhideWhenUsed/>
    <w:rsid w:val="003003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0398"/>
  </w:style>
  <w:style w:type="character" w:customStyle="1" w:styleId="Heading1Char">
    <w:name w:val="Heading 1 Char"/>
    <w:basedOn w:val="DefaultParagraphFont"/>
    <w:link w:val="Heading1"/>
    <w:uiPriority w:val="9"/>
    <w:rsid w:val="00354E59"/>
    <w:rPr>
      <w:rFonts w:asciiTheme="majorHAnsi" w:eastAsiaTheme="majorEastAsia" w:hAnsiTheme="majorHAnsi" w:cstheme="majorBidi"/>
      <w:color w:val="0F4761" w:themeColor="accent1" w:themeShade="BF"/>
      <w:sz w:val="32"/>
      <w:szCs w:val="32"/>
    </w:rPr>
  </w:style>
  <w:style w:type="table" w:customStyle="1" w:styleId="TableGrid1">
    <w:name w:val="Table Grid1"/>
    <w:basedOn w:val="TableNormal"/>
    <w:next w:val="TableGrid"/>
    <w:uiPriority w:val="59"/>
    <w:rsid w:val="0092091C"/>
    <w:pPr>
      <w:spacing w:after="0" w:line="240" w:lineRule="auto"/>
    </w:pPr>
    <w:rPr>
      <w:rFonts w:eastAsia="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20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D23A3"/>
    <w:rPr>
      <w:color w:val="467886" w:themeColor="hyperlink"/>
      <w:u w:val="single"/>
    </w:rPr>
  </w:style>
  <w:style w:type="character" w:styleId="UnresolvedMention">
    <w:name w:val="Unresolved Mention"/>
    <w:basedOn w:val="DefaultParagraphFont"/>
    <w:uiPriority w:val="99"/>
    <w:semiHidden/>
    <w:unhideWhenUsed/>
    <w:rsid w:val="003D23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15491">
      <w:bodyDiv w:val="1"/>
      <w:marLeft w:val="0"/>
      <w:marRight w:val="0"/>
      <w:marTop w:val="0"/>
      <w:marBottom w:val="0"/>
      <w:divBdr>
        <w:top w:val="none" w:sz="0" w:space="0" w:color="auto"/>
        <w:left w:val="none" w:sz="0" w:space="0" w:color="auto"/>
        <w:bottom w:val="none" w:sz="0" w:space="0" w:color="auto"/>
        <w:right w:val="none" w:sz="0" w:space="0" w:color="auto"/>
      </w:divBdr>
    </w:div>
    <w:div w:id="186993423">
      <w:bodyDiv w:val="1"/>
      <w:marLeft w:val="0"/>
      <w:marRight w:val="0"/>
      <w:marTop w:val="0"/>
      <w:marBottom w:val="0"/>
      <w:divBdr>
        <w:top w:val="none" w:sz="0" w:space="0" w:color="auto"/>
        <w:left w:val="none" w:sz="0" w:space="0" w:color="auto"/>
        <w:bottom w:val="none" w:sz="0" w:space="0" w:color="auto"/>
        <w:right w:val="none" w:sz="0" w:space="0" w:color="auto"/>
      </w:divBdr>
    </w:div>
    <w:div w:id="491137941">
      <w:bodyDiv w:val="1"/>
      <w:marLeft w:val="0"/>
      <w:marRight w:val="0"/>
      <w:marTop w:val="0"/>
      <w:marBottom w:val="0"/>
      <w:divBdr>
        <w:top w:val="none" w:sz="0" w:space="0" w:color="auto"/>
        <w:left w:val="none" w:sz="0" w:space="0" w:color="auto"/>
        <w:bottom w:val="none" w:sz="0" w:space="0" w:color="auto"/>
        <w:right w:val="none" w:sz="0" w:space="0" w:color="auto"/>
      </w:divBdr>
    </w:div>
    <w:div w:id="511846719">
      <w:bodyDiv w:val="1"/>
      <w:marLeft w:val="0"/>
      <w:marRight w:val="0"/>
      <w:marTop w:val="0"/>
      <w:marBottom w:val="0"/>
      <w:divBdr>
        <w:top w:val="none" w:sz="0" w:space="0" w:color="auto"/>
        <w:left w:val="none" w:sz="0" w:space="0" w:color="auto"/>
        <w:bottom w:val="none" w:sz="0" w:space="0" w:color="auto"/>
        <w:right w:val="none" w:sz="0" w:space="0" w:color="auto"/>
      </w:divBdr>
    </w:div>
    <w:div w:id="591550084">
      <w:bodyDiv w:val="1"/>
      <w:marLeft w:val="0"/>
      <w:marRight w:val="0"/>
      <w:marTop w:val="0"/>
      <w:marBottom w:val="0"/>
      <w:divBdr>
        <w:top w:val="none" w:sz="0" w:space="0" w:color="auto"/>
        <w:left w:val="none" w:sz="0" w:space="0" w:color="auto"/>
        <w:bottom w:val="none" w:sz="0" w:space="0" w:color="auto"/>
        <w:right w:val="none" w:sz="0" w:space="0" w:color="auto"/>
      </w:divBdr>
    </w:div>
    <w:div w:id="594049497">
      <w:bodyDiv w:val="1"/>
      <w:marLeft w:val="0"/>
      <w:marRight w:val="0"/>
      <w:marTop w:val="0"/>
      <w:marBottom w:val="0"/>
      <w:divBdr>
        <w:top w:val="none" w:sz="0" w:space="0" w:color="auto"/>
        <w:left w:val="none" w:sz="0" w:space="0" w:color="auto"/>
        <w:bottom w:val="none" w:sz="0" w:space="0" w:color="auto"/>
        <w:right w:val="none" w:sz="0" w:space="0" w:color="auto"/>
      </w:divBdr>
    </w:div>
    <w:div w:id="601958958">
      <w:bodyDiv w:val="1"/>
      <w:marLeft w:val="0"/>
      <w:marRight w:val="0"/>
      <w:marTop w:val="0"/>
      <w:marBottom w:val="0"/>
      <w:divBdr>
        <w:top w:val="none" w:sz="0" w:space="0" w:color="auto"/>
        <w:left w:val="none" w:sz="0" w:space="0" w:color="auto"/>
        <w:bottom w:val="none" w:sz="0" w:space="0" w:color="auto"/>
        <w:right w:val="none" w:sz="0" w:space="0" w:color="auto"/>
      </w:divBdr>
    </w:div>
    <w:div w:id="602231320">
      <w:bodyDiv w:val="1"/>
      <w:marLeft w:val="0"/>
      <w:marRight w:val="0"/>
      <w:marTop w:val="0"/>
      <w:marBottom w:val="0"/>
      <w:divBdr>
        <w:top w:val="none" w:sz="0" w:space="0" w:color="auto"/>
        <w:left w:val="none" w:sz="0" w:space="0" w:color="auto"/>
        <w:bottom w:val="none" w:sz="0" w:space="0" w:color="auto"/>
        <w:right w:val="none" w:sz="0" w:space="0" w:color="auto"/>
      </w:divBdr>
    </w:div>
    <w:div w:id="602884620">
      <w:bodyDiv w:val="1"/>
      <w:marLeft w:val="0"/>
      <w:marRight w:val="0"/>
      <w:marTop w:val="0"/>
      <w:marBottom w:val="0"/>
      <w:divBdr>
        <w:top w:val="none" w:sz="0" w:space="0" w:color="auto"/>
        <w:left w:val="none" w:sz="0" w:space="0" w:color="auto"/>
        <w:bottom w:val="none" w:sz="0" w:space="0" w:color="auto"/>
        <w:right w:val="none" w:sz="0" w:space="0" w:color="auto"/>
      </w:divBdr>
    </w:div>
    <w:div w:id="669913012">
      <w:bodyDiv w:val="1"/>
      <w:marLeft w:val="0"/>
      <w:marRight w:val="0"/>
      <w:marTop w:val="0"/>
      <w:marBottom w:val="0"/>
      <w:divBdr>
        <w:top w:val="none" w:sz="0" w:space="0" w:color="auto"/>
        <w:left w:val="none" w:sz="0" w:space="0" w:color="auto"/>
        <w:bottom w:val="none" w:sz="0" w:space="0" w:color="auto"/>
        <w:right w:val="none" w:sz="0" w:space="0" w:color="auto"/>
      </w:divBdr>
      <w:divsChild>
        <w:div w:id="1587689283">
          <w:marLeft w:val="0"/>
          <w:marRight w:val="0"/>
          <w:marTop w:val="0"/>
          <w:marBottom w:val="0"/>
          <w:divBdr>
            <w:top w:val="none" w:sz="0" w:space="0" w:color="auto"/>
            <w:left w:val="none" w:sz="0" w:space="0" w:color="auto"/>
            <w:bottom w:val="none" w:sz="0" w:space="0" w:color="auto"/>
            <w:right w:val="none" w:sz="0" w:space="0" w:color="auto"/>
          </w:divBdr>
        </w:div>
        <w:div w:id="772475759">
          <w:marLeft w:val="0"/>
          <w:marRight w:val="0"/>
          <w:marTop w:val="0"/>
          <w:marBottom w:val="0"/>
          <w:divBdr>
            <w:top w:val="none" w:sz="0" w:space="0" w:color="auto"/>
            <w:left w:val="none" w:sz="0" w:space="0" w:color="auto"/>
            <w:bottom w:val="none" w:sz="0" w:space="0" w:color="auto"/>
            <w:right w:val="none" w:sz="0" w:space="0" w:color="auto"/>
          </w:divBdr>
        </w:div>
      </w:divsChild>
    </w:div>
    <w:div w:id="670066695">
      <w:bodyDiv w:val="1"/>
      <w:marLeft w:val="0"/>
      <w:marRight w:val="0"/>
      <w:marTop w:val="0"/>
      <w:marBottom w:val="0"/>
      <w:divBdr>
        <w:top w:val="none" w:sz="0" w:space="0" w:color="auto"/>
        <w:left w:val="none" w:sz="0" w:space="0" w:color="auto"/>
        <w:bottom w:val="none" w:sz="0" w:space="0" w:color="auto"/>
        <w:right w:val="none" w:sz="0" w:space="0" w:color="auto"/>
      </w:divBdr>
    </w:div>
    <w:div w:id="693578802">
      <w:bodyDiv w:val="1"/>
      <w:marLeft w:val="0"/>
      <w:marRight w:val="0"/>
      <w:marTop w:val="0"/>
      <w:marBottom w:val="0"/>
      <w:divBdr>
        <w:top w:val="none" w:sz="0" w:space="0" w:color="auto"/>
        <w:left w:val="none" w:sz="0" w:space="0" w:color="auto"/>
        <w:bottom w:val="none" w:sz="0" w:space="0" w:color="auto"/>
        <w:right w:val="none" w:sz="0" w:space="0" w:color="auto"/>
      </w:divBdr>
    </w:div>
    <w:div w:id="889614828">
      <w:bodyDiv w:val="1"/>
      <w:marLeft w:val="0"/>
      <w:marRight w:val="0"/>
      <w:marTop w:val="0"/>
      <w:marBottom w:val="0"/>
      <w:divBdr>
        <w:top w:val="none" w:sz="0" w:space="0" w:color="auto"/>
        <w:left w:val="none" w:sz="0" w:space="0" w:color="auto"/>
        <w:bottom w:val="none" w:sz="0" w:space="0" w:color="auto"/>
        <w:right w:val="none" w:sz="0" w:space="0" w:color="auto"/>
      </w:divBdr>
    </w:div>
    <w:div w:id="1090661530">
      <w:bodyDiv w:val="1"/>
      <w:marLeft w:val="0"/>
      <w:marRight w:val="0"/>
      <w:marTop w:val="0"/>
      <w:marBottom w:val="0"/>
      <w:divBdr>
        <w:top w:val="none" w:sz="0" w:space="0" w:color="auto"/>
        <w:left w:val="none" w:sz="0" w:space="0" w:color="auto"/>
        <w:bottom w:val="none" w:sz="0" w:space="0" w:color="auto"/>
        <w:right w:val="none" w:sz="0" w:space="0" w:color="auto"/>
      </w:divBdr>
    </w:div>
    <w:div w:id="1126049245">
      <w:bodyDiv w:val="1"/>
      <w:marLeft w:val="0"/>
      <w:marRight w:val="0"/>
      <w:marTop w:val="0"/>
      <w:marBottom w:val="0"/>
      <w:divBdr>
        <w:top w:val="none" w:sz="0" w:space="0" w:color="auto"/>
        <w:left w:val="none" w:sz="0" w:space="0" w:color="auto"/>
        <w:bottom w:val="none" w:sz="0" w:space="0" w:color="auto"/>
        <w:right w:val="none" w:sz="0" w:space="0" w:color="auto"/>
      </w:divBdr>
    </w:div>
    <w:div w:id="1278371347">
      <w:bodyDiv w:val="1"/>
      <w:marLeft w:val="0"/>
      <w:marRight w:val="0"/>
      <w:marTop w:val="0"/>
      <w:marBottom w:val="0"/>
      <w:divBdr>
        <w:top w:val="none" w:sz="0" w:space="0" w:color="auto"/>
        <w:left w:val="none" w:sz="0" w:space="0" w:color="auto"/>
        <w:bottom w:val="none" w:sz="0" w:space="0" w:color="auto"/>
        <w:right w:val="none" w:sz="0" w:space="0" w:color="auto"/>
      </w:divBdr>
    </w:div>
    <w:div w:id="1293289838">
      <w:bodyDiv w:val="1"/>
      <w:marLeft w:val="0"/>
      <w:marRight w:val="0"/>
      <w:marTop w:val="0"/>
      <w:marBottom w:val="0"/>
      <w:divBdr>
        <w:top w:val="none" w:sz="0" w:space="0" w:color="auto"/>
        <w:left w:val="none" w:sz="0" w:space="0" w:color="auto"/>
        <w:bottom w:val="none" w:sz="0" w:space="0" w:color="auto"/>
        <w:right w:val="none" w:sz="0" w:space="0" w:color="auto"/>
      </w:divBdr>
    </w:div>
    <w:div w:id="1379746177">
      <w:bodyDiv w:val="1"/>
      <w:marLeft w:val="0"/>
      <w:marRight w:val="0"/>
      <w:marTop w:val="0"/>
      <w:marBottom w:val="0"/>
      <w:divBdr>
        <w:top w:val="none" w:sz="0" w:space="0" w:color="auto"/>
        <w:left w:val="none" w:sz="0" w:space="0" w:color="auto"/>
        <w:bottom w:val="none" w:sz="0" w:space="0" w:color="auto"/>
        <w:right w:val="none" w:sz="0" w:space="0" w:color="auto"/>
      </w:divBdr>
    </w:div>
    <w:div w:id="1501847974">
      <w:bodyDiv w:val="1"/>
      <w:marLeft w:val="0"/>
      <w:marRight w:val="0"/>
      <w:marTop w:val="0"/>
      <w:marBottom w:val="0"/>
      <w:divBdr>
        <w:top w:val="none" w:sz="0" w:space="0" w:color="auto"/>
        <w:left w:val="none" w:sz="0" w:space="0" w:color="auto"/>
        <w:bottom w:val="none" w:sz="0" w:space="0" w:color="auto"/>
        <w:right w:val="none" w:sz="0" w:space="0" w:color="auto"/>
      </w:divBdr>
    </w:div>
    <w:div w:id="1542857679">
      <w:bodyDiv w:val="1"/>
      <w:marLeft w:val="0"/>
      <w:marRight w:val="0"/>
      <w:marTop w:val="0"/>
      <w:marBottom w:val="0"/>
      <w:divBdr>
        <w:top w:val="none" w:sz="0" w:space="0" w:color="auto"/>
        <w:left w:val="none" w:sz="0" w:space="0" w:color="auto"/>
        <w:bottom w:val="none" w:sz="0" w:space="0" w:color="auto"/>
        <w:right w:val="none" w:sz="0" w:space="0" w:color="auto"/>
      </w:divBdr>
    </w:div>
    <w:div w:id="1602183402">
      <w:bodyDiv w:val="1"/>
      <w:marLeft w:val="0"/>
      <w:marRight w:val="0"/>
      <w:marTop w:val="0"/>
      <w:marBottom w:val="0"/>
      <w:divBdr>
        <w:top w:val="none" w:sz="0" w:space="0" w:color="auto"/>
        <w:left w:val="none" w:sz="0" w:space="0" w:color="auto"/>
        <w:bottom w:val="none" w:sz="0" w:space="0" w:color="auto"/>
        <w:right w:val="none" w:sz="0" w:space="0" w:color="auto"/>
      </w:divBdr>
    </w:div>
    <w:div w:id="1649095938">
      <w:bodyDiv w:val="1"/>
      <w:marLeft w:val="0"/>
      <w:marRight w:val="0"/>
      <w:marTop w:val="0"/>
      <w:marBottom w:val="0"/>
      <w:divBdr>
        <w:top w:val="none" w:sz="0" w:space="0" w:color="auto"/>
        <w:left w:val="none" w:sz="0" w:space="0" w:color="auto"/>
        <w:bottom w:val="none" w:sz="0" w:space="0" w:color="auto"/>
        <w:right w:val="none" w:sz="0" w:space="0" w:color="auto"/>
      </w:divBdr>
    </w:div>
    <w:div w:id="1785149913">
      <w:bodyDiv w:val="1"/>
      <w:marLeft w:val="0"/>
      <w:marRight w:val="0"/>
      <w:marTop w:val="0"/>
      <w:marBottom w:val="0"/>
      <w:divBdr>
        <w:top w:val="none" w:sz="0" w:space="0" w:color="auto"/>
        <w:left w:val="none" w:sz="0" w:space="0" w:color="auto"/>
        <w:bottom w:val="none" w:sz="0" w:space="0" w:color="auto"/>
        <w:right w:val="none" w:sz="0" w:space="0" w:color="auto"/>
      </w:divBdr>
    </w:div>
    <w:div w:id="19850433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486F7-69A8-4A9A-811D-5964C6271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972</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Heard</dc:creator>
  <cp:lastModifiedBy>Linda Heard</cp:lastModifiedBy>
  <cp:revision>3</cp:revision>
  <cp:lastPrinted>2024-12-12T19:38:00Z</cp:lastPrinted>
  <dcterms:created xsi:type="dcterms:W3CDTF">2024-12-17T18:21:00Z</dcterms:created>
  <dcterms:modified xsi:type="dcterms:W3CDTF">2024-12-17T18:25:00Z</dcterms:modified>
</cp:coreProperties>
</file>