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8A5D" w14:textId="77777777" w:rsidR="00DB460D" w:rsidRDefault="00DB460D" w:rsidP="000B10A3">
      <w:pPr>
        <w:tabs>
          <w:tab w:val="left" w:pos="1635"/>
          <w:tab w:val="center" w:pos="4806"/>
        </w:tabs>
        <w:jc w:val="center"/>
        <w:rPr>
          <w:b/>
        </w:rPr>
      </w:pPr>
      <w:bookmarkStart w:id="0" w:name="_Hlk69386296"/>
    </w:p>
    <w:p w14:paraId="38836E46" w14:textId="77777777" w:rsidR="00DB460D" w:rsidRDefault="00DB460D" w:rsidP="000B10A3">
      <w:pPr>
        <w:tabs>
          <w:tab w:val="left" w:pos="1635"/>
          <w:tab w:val="center" w:pos="4806"/>
        </w:tabs>
        <w:jc w:val="center"/>
        <w:rPr>
          <w:b/>
        </w:rPr>
      </w:pPr>
    </w:p>
    <w:p w14:paraId="3EA8EEB9" w14:textId="77777777" w:rsidR="00DB460D" w:rsidRPr="00DB460D" w:rsidRDefault="00DB460D" w:rsidP="00DB460D">
      <w:pPr>
        <w:ind w:firstLine="0"/>
        <w:rPr>
          <w:rFonts w:eastAsia="Calibri"/>
          <w:lang w:bidi="ar-SA"/>
        </w:rPr>
      </w:pPr>
      <w:r w:rsidRPr="00DB460D">
        <w:rPr>
          <w:rFonts w:eastAsia="Calibri"/>
          <w:lang w:bidi="ar-SA"/>
        </w:rPr>
        <w:t>May 2023</w:t>
      </w:r>
    </w:p>
    <w:p w14:paraId="71DB07C5" w14:textId="77777777" w:rsidR="00DB460D" w:rsidRPr="00DB460D" w:rsidRDefault="00DB460D" w:rsidP="00DB460D">
      <w:pPr>
        <w:ind w:firstLine="0"/>
        <w:rPr>
          <w:rFonts w:eastAsia="Calibri"/>
          <w:lang w:bidi="ar-SA"/>
        </w:rPr>
      </w:pPr>
    </w:p>
    <w:p w14:paraId="7AC6053A" w14:textId="77777777" w:rsidR="00DB460D" w:rsidRPr="00DB460D" w:rsidRDefault="00DB460D" w:rsidP="00DB460D">
      <w:pPr>
        <w:ind w:firstLine="0"/>
        <w:rPr>
          <w:rFonts w:eastAsia="Calibri"/>
          <w:lang w:bidi="ar-SA"/>
        </w:rPr>
      </w:pPr>
    </w:p>
    <w:p w14:paraId="19C37B3B" w14:textId="77777777" w:rsidR="00DB460D" w:rsidRPr="00DB460D" w:rsidRDefault="00DB460D" w:rsidP="00DB460D">
      <w:pPr>
        <w:ind w:firstLine="0"/>
        <w:rPr>
          <w:rFonts w:eastAsia="Calibri"/>
          <w:lang w:bidi="ar-SA"/>
        </w:rPr>
      </w:pPr>
    </w:p>
    <w:p w14:paraId="7B5B5554" w14:textId="77777777" w:rsidR="00DB460D" w:rsidRPr="00DB460D" w:rsidRDefault="00DB460D" w:rsidP="00DB460D">
      <w:pPr>
        <w:ind w:firstLine="0"/>
        <w:rPr>
          <w:rFonts w:eastAsia="Calibri"/>
          <w:lang w:bidi="ar-SA"/>
        </w:rPr>
      </w:pPr>
    </w:p>
    <w:p w14:paraId="79E581FB" w14:textId="77777777" w:rsidR="00DB460D" w:rsidRPr="00DB460D" w:rsidRDefault="00DB460D" w:rsidP="00DB460D">
      <w:pPr>
        <w:ind w:firstLine="0"/>
        <w:rPr>
          <w:rFonts w:eastAsia="Calibri"/>
          <w:lang w:bidi="ar-SA"/>
        </w:rPr>
      </w:pPr>
    </w:p>
    <w:p w14:paraId="74B86DCC" w14:textId="77777777" w:rsidR="00DB460D" w:rsidRPr="00DB460D" w:rsidRDefault="00DB460D" w:rsidP="00DB460D">
      <w:pPr>
        <w:ind w:firstLine="0"/>
        <w:rPr>
          <w:rFonts w:eastAsia="Calibri"/>
          <w:lang w:bidi="ar-SA"/>
        </w:rPr>
      </w:pPr>
    </w:p>
    <w:p w14:paraId="62590F70" w14:textId="77777777" w:rsidR="00DB460D" w:rsidRPr="00DB460D" w:rsidRDefault="00DB460D" w:rsidP="00DB460D">
      <w:pPr>
        <w:ind w:firstLine="0"/>
        <w:rPr>
          <w:rFonts w:eastAsia="Calibri"/>
          <w:lang w:bidi="ar-SA"/>
        </w:rPr>
      </w:pPr>
      <w:r w:rsidRPr="00DB460D">
        <w:rPr>
          <w:rFonts w:eastAsia="Calibri"/>
          <w:lang w:bidi="ar-SA"/>
        </w:rPr>
        <w:tab/>
      </w:r>
    </w:p>
    <w:p w14:paraId="0DB21DEC" w14:textId="77777777" w:rsidR="00DB460D" w:rsidRPr="00DB460D" w:rsidRDefault="00DB460D" w:rsidP="00DB460D">
      <w:pPr>
        <w:ind w:firstLine="0"/>
        <w:rPr>
          <w:rFonts w:eastAsia="Calibri"/>
          <w:lang w:bidi="ar-SA"/>
        </w:rPr>
      </w:pPr>
    </w:p>
    <w:p w14:paraId="05329F3C" w14:textId="77777777" w:rsidR="00DB460D" w:rsidRPr="00DB460D" w:rsidRDefault="00DB460D" w:rsidP="00DB460D">
      <w:pPr>
        <w:ind w:firstLine="0"/>
        <w:rPr>
          <w:rFonts w:eastAsia="Calibri"/>
          <w:lang w:bidi="ar-SA"/>
        </w:rPr>
      </w:pPr>
    </w:p>
    <w:p w14:paraId="021372A1" w14:textId="77777777" w:rsidR="00DB460D" w:rsidRPr="00DB460D" w:rsidRDefault="00DB460D" w:rsidP="00DB460D">
      <w:pPr>
        <w:ind w:firstLine="0"/>
        <w:rPr>
          <w:rFonts w:eastAsia="Calibri"/>
          <w:lang w:bidi="ar-SA"/>
        </w:rPr>
      </w:pPr>
      <w:r w:rsidRPr="00DB460D">
        <w:rPr>
          <w:rFonts w:eastAsia="Calibri"/>
          <w:lang w:bidi="ar-SA"/>
        </w:rPr>
        <w:tab/>
        <w:t>Here are selected year to date return numbers through the end of April</w:t>
      </w:r>
    </w:p>
    <w:p w14:paraId="3F2135F2" w14:textId="77777777" w:rsidR="00DB460D" w:rsidRPr="00DB460D" w:rsidRDefault="00DB460D" w:rsidP="00DB460D">
      <w:pPr>
        <w:spacing w:line="276" w:lineRule="auto"/>
        <w:ind w:firstLine="0"/>
        <w:contextualSpacing/>
        <w:rPr>
          <w:rFonts w:eastAsia="Calibri"/>
          <w:lang w:bidi="ar-SA"/>
        </w:rPr>
      </w:pPr>
    </w:p>
    <w:p w14:paraId="781F6C3D" w14:textId="77777777" w:rsidR="00DB460D" w:rsidRPr="00DB460D" w:rsidRDefault="00DB460D" w:rsidP="00DB460D">
      <w:pPr>
        <w:spacing w:line="276" w:lineRule="auto"/>
        <w:ind w:firstLine="0"/>
        <w:contextualSpacing/>
        <w:rPr>
          <w:rFonts w:eastAsia="Calibri"/>
          <w:lang w:bidi="ar-SA"/>
        </w:rPr>
      </w:pPr>
    </w:p>
    <w:p w14:paraId="68886382" w14:textId="77777777" w:rsidR="00DB460D" w:rsidRPr="00DB460D" w:rsidRDefault="00DB460D" w:rsidP="00DB460D">
      <w:pPr>
        <w:spacing w:line="276" w:lineRule="auto"/>
        <w:ind w:firstLine="0"/>
        <w:contextualSpacing/>
        <w:rPr>
          <w:rFonts w:eastAsia="Calibri"/>
          <w:lang w:bidi="ar-SA"/>
        </w:rPr>
      </w:pPr>
      <w:r w:rsidRPr="00DB460D">
        <w:rPr>
          <w:rFonts w:eastAsia="Calibri"/>
          <w:b/>
          <w:lang w:bidi="ar-SA"/>
        </w:rPr>
        <w:t xml:space="preserve"> </w:t>
      </w:r>
      <w:r w:rsidRPr="00DB460D">
        <w:rPr>
          <w:rFonts w:eastAsia="Calibri"/>
          <w:b/>
          <w:lang w:bidi="ar-SA"/>
        </w:rPr>
        <w:tab/>
      </w:r>
      <w:r w:rsidRPr="00DB460D">
        <w:rPr>
          <w:rFonts w:eastAsia="Calibri"/>
          <w:b/>
          <w:lang w:bidi="ar-SA"/>
        </w:rPr>
        <w:tab/>
        <w:t>Stock Indexes</w:t>
      </w:r>
    </w:p>
    <w:p w14:paraId="535E5C19" w14:textId="77777777" w:rsidR="00DB460D" w:rsidRPr="00DB460D" w:rsidRDefault="00DB460D" w:rsidP="00DB460D">
      <w:pPr>
        <w:spacing w:line="276" w:lineRule="auto"/>
        <w:ind w:firstLine="0"/>
        <w:rPr>
          <w:rFonts w:eastAsia="Calibri"/>
          <w:b/>
          <w:sz w:val="20"/>
          <w:szCs w:val="20"/>
          <w:lang w:bidi="ar-SA"/>
        </w:rPr>
      </w:pP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sz w:val="20"/>
          <w:szCs w:val="20"/>
          <w:lang w:bidi="ar-SA"/>
        </w:rPr>
        <w:t xml:space="preserve">              </w:t>
      </w:r>
      <w:r w:rsidRPr="00DB460D">
        <w:rPr>
          <w:rFonts w:eastAsia="Calibri"/>
          <w:b/>
          <w:sz w:val="20"/>
          <w:szCs w:val="20"/>
          <w:lang w:bidi="ar-SA"/>
        </w:rPr>
        <w:t>(As of 04/30/23)*</w:t>
      </w:r>
    </w:p>
    <w:p w14:paraId="66001E2B" w14:textId="77777777" w:rsidR="00DB460D" w:rsidRPr="00DB460D" w:rsidRDefault="00DB460D" w:rsidP="00DB460D">
      <w:pPr>
        <w:spacing w:line="276" w:lineRule="auto"/>
        <w:ind w:left="720"/>
        <w:contextualSpacing/>
        <w:rPr>
          <w:rFonts w:eastAsia="Calibri"/>
          <w:lang w:bidi="ar-SA"/>
        </w:rPr>
      </w:pPr>
      <w:r w:rsidRPr="00DB460D">
        <w:rPr>
          <w:rFonts w:eastAsia="Calibri"/>
          <w:lang w:bidi="ar-SA"/>
        </w:rPr>
        <w:t>Dow Jones Industrials</w:t>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t xml:space="preserve">      7.63%</w:t>
      </w:r>
    </w:p>
    <w:p w14:paraId="2D9257D3" w14:textId="77777777" w:rsidR="00DB460D" w:rsidRPr="00DB460D" w:rsidRDefault="00DB460D" w:rsidP="00DB460D">
      <w:pPr>
        <w:spacing w:line="276" w:lineRule="auto"/>
        <w:ind w:left="720"/>
        <w:contextualSpacing/>
        <w:rPr>
          <w:rFonts w:eastAsia="Calibri"/>
          <w:lang w:bidi="ar-SA"/>
        </w:rPr>
      </w:pPr>
      <w:r w:rsidRPr="00DB460D">
        <w:rPr>
          <w:rFonts w:eastAsia="Calibri"/>
          <w:lang w:bidi="ar-SA"/>
        </w:rPr>
        <w:t>S&amp;P 500 Index</w:t>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t xml:space="preserve">      8.60%</w:t>
      </w:r>
    </w:p>
    <w:p w14:paraId="62400B53" w14:textId="77777777" w:rsidR="00DB460D" w:rsidRPr="00DB460D" w:rsidRDefault="00DB460D" w:rsidP="00DB460D">
      <w:pPr>
        <w:spacing w:line="276" w:lineRule="auto"/>
        <w:ind w:left="720"/>
        <w:contextualSpacing/>
        <w:rPr>
          <w:rFonts w:eastAsia="Calibri"/>
          <w:lang w:bidi="ar-SA"/>
        </w:rPr>
      </w:pPr>
      <w:r w:rsidRPr="00DB460D">
        <w:rPr>
          <w:rFonts w:eastAsia="Calibri"/>
          <w:lang w:bidi="ar-SA"/>
        </w:rPr>
        <w:t>NASDAQ Composite</w:t>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t xml:space="preserve">    16.80%</w:t>
      </w:r>
      <w:r w:rsidRPr="00DB460D">
        <w:rPr>
          <w:rFonts w:eastAsia="Calibri"/>
          <w:lang w:bidi="ar-SA"/>
        </w:rPr>
        <w:tab/>
      </w:r>
    </w:p>
    <w:p w14:paraId="4DFF488B" w14:textId="77777777" w:rsidR="00DB460D" w:rsidRPr="00DB460D" w:rsidRDefault="00DB460D" w:rsidP="00DB460D">
      <w:pPr>
        <w:tabs>
          <w:tab w:val="left" w:pos="6480"/>
        </w:tabs>
        <w:spacing w:line="276" w:lineRule="auto"/>
        <w:ind w:left="720"/>
        <w:contextualSpacing/>
        <w:rPr>
          <w:rFonts w:eastAsia="Calibri"/>
          <w:lang w:bidi="ar-SA"/>
        </w:rPr>
      </w:pPr>
      <w:r w:rsidRPr="00DB460D">
        <w:rPr>
          <w:rFonts w:eastAsia="Calibri"/>
          <w:lang w:bidi="ar-SA"/>
        </w:rPr>
        <w:t xml:space="preserve">MSCI </w:t>
      </w:r>
      <w:proofErr w:type="spellStart"/>
      <w:r w:rsidRPr="00DB460D">
        <w:rPr>
          <w:rFonts w:eastAsia="Calibri"/>
          <w:lang w:bidi="ar-SA"/>
        </w:rPr>
        <w:t>ACWI</w:t>
      </w:r>
      <w:proofErr w:type="spellEnd"/>
      <w:r w:rsidRPr="00DB460D">
        <w:rPr>
          <w:rFonts w:eastAsia="Calibri"/>
          <w:lang w:bidi="ar-SA"/>
        </w:rPr>
        <w:t xml:space="preserve"> All Cap (Net </w:t>
      </w:r>
      <w:proofErr w:type="spellStart"/>
      <w:r w:rsidRPr="00DB460D">
        <w:rPr>
          <w:rFonts w:eastAsia="Calibri"/>
          <w:lang w:bidi="ar-SA"/>
        </w:rPr>
        <w:t>Div</w:t>
      </w:r>
      <w:proofErr w:type="spellEnd"/>
      <w:r w:rsidRPr="00DB460D">
        <w:rPr>
          <w:rFonts w:eastAsia="Calibri"/>
          <w:lang w:bidi="ar-SA"/>
        </w:rPr>
        <w:t>)</w:t>
      </w:r>
      <w:r w:rsidRPr="00DB460D">
        <w:rPr>
          <w:rFonts w:eastAsia="Calibri"/>
          <w:lang w:bidi="ar-SA"/>
        </w:rPr>
        <w:tab/>
        <w:t xml:space="preserve">      8.25%</w:t>
      </w:r>
    </w:p>
    <w:p w14:paraId="558ECAB8" w14:textId="77777777" w:rsidR="00DB460D" w:rsidRPr="00DB460D" w:rsidRDefault="00DB460D" w:rsidP="00DB460D">
      <w:pPr>
        <w:spacing w:line="276" w:lineRule="auto"/>
        <w:rPr>
          <w:rFonts w:eastAsia="Calibri"/>
          <w:sz w:val="16"/>
          <w:szCs w:val="16"/>
          <w:lang w:bidi="ar-SA"/>
        </w:rPr>
      </w:pPr>
    </w:p>
    <w:p w14:paraId="6203E6F5" w14:textId="77777777" w:rsidR="00DB460D" w:rsidRPr="00DB460D" w:rsidRDefault="00DB460D" w:rsidP="00DB460D">
      <w:pPr>
        <w:spacing w:line="276" w:lineRule="auto"/>
        <w:rPr>
          <w:rFonts w:eastAsia="Calibri"/>
          <w:b/>
          <w:sz w:val="20"/>
          <w:szCs w:val="20"/>
          <w:lang w:bidi="ar-SA"/>
        </w:rPr>
      </w:pP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sz w:val="20"/>
          <w:szCs w:val="20"/>
          <w:lang w:bidi="ar-SA"/>
        </w:rPr>
        <w:t xml:space="preserve">                            (</w:t>
      </w:r>
      <w:r w:rsidRPr="00DB460D">
        <w:rPr>
          <w:rFonts w:eastAsia="Calibri"/>
          <w:b/>
          <w:sz w:val="20"/>
          <w:szCs w:val="20"/>
          <w:lang w:bidi="ar-SA"/>
        </w:rPr>
        <w:t>As of 04/30/23)*</w:t>
      </w:r>
    </w:p>
    <w:p w14:paraId="4AC03758" w14:textId="77777777" w:rsidR="00DB460D" w:rsidRPr="00DB460D" w:rsidRDefault="00DB460D" w:rsidP="00DB460D">
      <w:pPr>
        <w:spacing w:line="276" w:lineRule="auto"/>
        <w:ind w:left="1440" w:firstLine="0"/>
        <w:contextualSpacing/>
        <w:rPr>
          <w:rFonts w:eastAsia="Calibri"/>
          <w:lang w:bidi="ar-SA"/>
        </w:rPr>
      </w:pPr>
      <w:r w:rsidRPr="00DB460D">
        <w:rPr>
          <w:rFonts w:eastAsia="Calibri"/>
          <w:lang w:bidi="ar-SA"/>
        </w:rPr>
        <w:t>Russell 1000 Growth Index</w:t>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t xml:space="preserve">     15.49%</w:t>
      </w:r>
    </w:p>
    <w:p w14:paraId="4B180BDA" w14:textId="77777777" w:rsidR="00DB460D" w:rsidRPr="00DB460D" w:rsidRDefault="00DB460D" w:rsidP="00DB460D">
      <w:pPr>
        <w:spacing w:line="276" w:lineRule="auto"/>
        <w:ind w:left="720"/>
        <w:contextualSpacing/>
        <w:rPr>
          <w:rFonts w:eastAsia="Calibri"/>
          <w:lang w:bidi="ar-SA"/>
        </w:rPr>
      </w:pPr>
      <w:r w:rsidRPr="00DB460D">
        <w:rPr>
          <w:rFonts w:eastAsia="Calibri"/>
          <w:lang w:bidi="ar-SA"/>
        </w:rPr>
        <w:t xml:space="preserve">Russell 1000 Value Index </w:t>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t xml:space="preserve">       2.53%</w:t>
      </w:r>
    </w:p>
    <w:p w14:paraId="748B7EB6" w14:textId="77777777" w:rsidR="00DB460D" w:rsidRPr="00DB460D" w:rsidRDefault="00DB460D" w:rsidP="00DB460D">
      <w:pPr>
        <w:spacing w:line="276" w:lineRule="auto"/>
        <w:ind w:left="720"/>
        <w:contextualSpacing/>
        <w:rPr>
          <w:rFonts w:eastAsia="Calibri"/>
          <w:lang w:bidi="ar-SA"/>
        </w:rPr>
      </w:pPr>
    </w:p>
    <w:p w14:paraId="26890820" w14:textId="77777777" w:rsidR="00DB460D" w:rsidRPr="00DB460D" w:rsidRDefault="00DB460D" w:rsidP="00DB460D">
      <w:pPr>
        <w:tabs>
          <w:tab w:val="left" w:pos="1471"/>
          <w:tab w:val="left" w:pos="6480"/>
        </w:tabs>
        <w:spacing w:line="276" w:lineRule="auto"/>
        <w:ind w:firstLine="0"/>
        <w:rPr>
          <w:rFonts w:eastAsia="Calibri"/>
          <w:b/>
          <w:sz w:val="20"/>
          <w:szCs w:val="20"/>
          <w:lang w:bidi="ar-SA"/>
        </w:rPr>
      </w:pPr>
      <w:r w:rsidRPr="00DB460D">
        <w:rPr>
          <w:rFonts w:eastAsia="Calibri"/>
          <w:b/>
          <w:lang w:bidi="ar-SA"/>
        </w:rPr>
        <w:t xml:space="preserve">                                                                                                            </w:t>
      </w:r>
      <w:r w:rsidRPr="00DB460D">
        <w:rPr>
          <w:rFonts w:eastAsia="Calibri"/>
          <w:b/>
          <w:sz w:val="20"/>
          <w:szCs w:val="20"/>
          <w:lang w:bidi="ar-SA"/>
        </w:rPr>
        <w:t>(As of 04/30/23)*</w:t>
      </w:r>
    </w:p>
    <w:p w14:paraId="72097EC6" w14:textId="77777777" w:rsidR="00DB460D" w:rsidRPr="00DB460D" w:rsidRDefault="00DB460D" w:rsidP="00DB460D">
      <w:pPr>
        <w:spacing w:line="276" w:lineRule="auto"/>
        <w:ind w:left="720"/>
        <w:contextualSpacing/>
        <w:rPr>
          <w:rFonts w:eastAsia="Calibri"/>
          <w:lang w:bidi="ar-SA"/>
        </w:rPr>
      </w:pPr>
      <w:r w:rsidRPr="00DB460D">
        <w:rPr>
          <w:rFonts w:eastAsia="Calibri"/>
          <w:lang w:bidi="ar-SA"/>
        </w:rPr>
        <w:t>Russell 2000 Index</w:t>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t xml:space="preserve">      0.89%</w:t>
      </w:r>
    </w:p>
    <w:p w14:paraId="7151793F" w14:textId="77777777" w:rsidR="00DB460D" w:rsidRPr="00DB460D" w:rsidRDefault="00DB460D" w:rsidP="00DB460D">
      <w:pPr>
        <w:spacing w:line="276" w:lineRule="auto"/>
        <w:ind w:left="720"/>
        <w:contextualSpacing/>
        <w:rPr>
          <w:rFonts w:eastAsia="Calibri"/>
          <w:lang w:bidi="ar-SA"/>
        </w:rPr>
      </w:pPr>
      <w:r w:rsidRPr="00DB460D">
        <w:rPr>
          <w:rFonts w:eastAsia="Calibri"/>
          <w:lang w:bidi="ar-SA"/>
        </w:rPr>
        <w:t xml:space="preserve">Russell 2000 Growth Index      </w:t>
      </w:r>
      <w:r w:rsidRPr="00DB460D">
        <w:rPr>
          <w:rFonts w:eastAsia="Calibri"/>
          <w:lang w:bidi="ar-SA"/>
        </w:rPr>
        <w:tab/>
      </w:r>
      <w:r w:rsidRPr="00DB460D">
        <w:rPr>
          <w:rFonts w:eastAsia="Calibri"/>
          <w:lang w:bidi="ar-SA"/>
        </w:rPr>
        <w:tab/>
      </w:r>
      <w:r w:rsidRPr="00DB460D">
        <w:rPr>
          <w:rFonts w:eastAsia="Calibri"/>
          <w:lang w:bidi="ar-SA"/>
        </w:rPr>
        <w:tab/>
        <w:t xml:space="preserve">      4.84%</w:t>
      </w:r>
    </w:p>
    <w:p w14:paraId="5DA567E3" w14:textId="77777777" w:rsidR="00DB460D" w:rsidRPr="00DB460D" w:rsidRDefault="00DB460D" w:rsidP="00DB460D">
      <w:pPr>
        <w:spacing w:line="276" w:lineRule="auto"/>
        <w:ind w:left="720"/>
        <w:contextualSpacing/>
        <w:rPr>
          <w:rFonts w:eastAsia="Calibri"/>
          <w:lang w:bidi="ar-SA"/>
        </w:rPr>
      </w:pPr>
      <w:r w:rsidRPr="00DB460D">
        <w:rPr>
          <w:rFonts w:eastAsia="Calibri"/>
          <w:lang w:bidi="ar-SA"/>
        </w:rPr>
        <w:t xml:space="preserve">Russell 2000 Value Index     </w:t>
      </w:r>
      <w:r w:rsidRPr="00DB460D">
        <w:rPr>
          <w:rFonts w:eastAsia="Calibri"/>
          <w:lang w:bidi="ar-SA"/>
        </w:rPr>
        <w:tab/>
      </w:r>
      <w:r w:rsidRPr="00DB460D">
        <w:rPr>
          <w:rFonts w:eastAsia="Calibri"/>
          <w:lang w:bidi="ar-SA"/>
        </w:rPr>
        <w:tab/>
      </w:r>
      <w:r w:rsidRPr="00DB460D">
        <w:rPr>
          <w:rFonts w:eastAsia="Calibri"/>
          <w:lang w:bidi="ar-SA"/>
        </w:rPr>
        <w:tab/>
      </w:r>
      <w:r w:rsidRPr="00DB460D">
        <w:rPr>
          <w:rFonts w:eastAsia="Calibri"/>
          <w:lang w:bidi="ar-SA"/>
        </w:rPr>
        <w:tab/>
        <w:t xml:space="preserve">     -3.13%</w:t>
      </w:r>
    </w:p>
    <w:p w14:paraId="2D8F4F00" w14:textId="77777777" w:rsidR="00DB460D" w:rsidRPr="00DB460D" w:rsidRDefault="00DB460D" w:rsidP="00DB460D">
      <w:pPr>
        <w:spacing w:line="276" w:lineRule="auto"/>
        <w:ind w:left="720"/>
        <w:contextualSpacing/>
        <w:rPr>
          <w:rFonts w:eastAsia="Calibri"/>
          <w:b/>
          <w:lang w:bidi="ar-SA"/>
        </w:rPr>
      </w:pPr>
    </w:p>
    <w:p w14:paraId="6DD67D2D" w14:textId="77777777" w:rsidR="00DB460D" w:rsidRPr="00DB460D" w:rsidRDefault="00DB460D" w:rsidP="00DB460D">
      <w:pPr>
        <w:tabs>
          <w:tab w:val="left" w:pos="6480"/>
          <w:tab w:val="left" w:pos="7020"/>
        </w:tabs>
        <w:spacing w:line="276" w:lineRule="auto"/>
        <w:ind w:left="720"/>
        <w:contextualSpacing/>
        <w:rPr>
          <w:rFonts w:eastAsia="Calibri"/>
          <w:b/>
          <w:sz w:val="20"/>
          <w:szCs w:val="20"/>
          <w:lang w:bidi="ar-SA"/>
        </w:rPr>
      </w:pPr>
      <w:r w:rsidRPr="00DB460D">
        <w:rPr>
          <w:rFonts w:eastAsia="Calibri"/>
          <w:b/>
          <w:lang w:bidi="ar-SA"/>
        </w:rPr>
        <w:t>Bond Index</w:t>
      </w:r>
      <w:r w:rsidRPr="00DB460D">
        <w:rPr>
          <w:rFonts w:eastAsia="Calibri"/>
          <w:b/>
          <w:lang w:bidi="ar-SA"/>
        </w:rPr>
        <w:tab/>
      </w:r>
      <w:r w:rsidRPr="00DB460D">
        <w:rPr>
          <w:rFonts w:eastAsia="Calibri"/>
          <w:b/>
          <w:sz w:val="20"/>
          <w:szCs w:val="20"/>
          <w:lang w:bidi="ar-SA"/>
        </w:rPr>
        <w:t>(As of 04/30/23)*</w:t>
      </w:r>
    </w:p>
    <w:p w14:paraId="588D20CE" w14:textId="77777777" w:rsidR="00DB460D" w:rsidRPr="00DB460D" w:rsidRDefault="00DB460D" w:rsidP="00DB460D">
      <w:pPr>
        <w:spacing w:line="276" w:lineRule="auto"/>
        <w:ind w:firstLine="0"/>
        <w:rPr>
          <w:rFonts w:eastAsia="Calibri"/>
          <w:lang w:bidi="ar-SA"/>
        </w:rPr>
      </w:pPr>
      <w:r w:rsidRPr="00DB460D">
        <w:rPr>
          <w:rFonts w:eastAsia="Calibri"/>
          <w:lang w:bidi="ar-SA"/>
        </w:rPr>
        <w:tab/>
      </w:r>
      <w:r w:rsidRPr="00DB460D">
        <w:rPr>
          <w:rFonts w:eastAsia="Calibri"/>
          <w:lang w:bidi="ar-SA"/>
        </w:rPr>
        <w:tab/>
        <w:t>Bloomberg U.S. Aggregate Bond Index</w:t>
      </w:r>
      <w:r w:rsidRPr="00DB460D">
        <w:rPr>
          <w:rFonts w:eastAsia="Calibri"/>
          <w:lang w:bidi="ar-SA"/>
        </w:rPr>
        <w:tab/>
        <w:t xml:space="preserve">    </w:t>
      </w:r>
      <w:r w:rsidRPr="00DB460D">
        <w:rPr>
          <w:rFonts w:eastAsia="Calibri"/>
          <w:lang w:bidi="ar-SA"/>
        </w:rPr>
        <w:tab/>
        <w:t xml:space="preserve">       3.59%</w:t>
      </w:r>
    </w:p>
    <w:p w14:paraId="3930699C" w14:textId="77777777" w:rsidR="00DB460D" w:rsidRPr="00DB460D" w:rsidRDefault="00DB460D" w:rsidP="00DB460D">
      <w:pPr>
        <w:tabs>
          <w:tab w:val="left" w:pos="1471"/>
        </w:tabs>
        <w:spacing w:line="276" w:lineRule="auto"/>
        <w:ind w:firstLine="0"/>
        <w:rPr>
          <w:rFonts w:eastAsia="Calibri"/>
          <w:b/>
          <w:sz w:val="16"/>
          <w:szCs w:val="16"/>
          <w:lang w:bidi="ar-SA"/>
        </w:rPr>
      </w:pPr>
      <w:r w:rsidRPr="00DB460D">
        <w:rPr>
          <w:rFonts w:eastAsia="Calibri"/>
          <w:lang w:bidi="ar-SA"/>
        </w:rPr>
        <w:tab/>
      </w:r>
      <w:r w:rsidRPr="00DB460D">
        <w:rPr>
          <w:rFonts w:eastAsia="Calibri"/>
          <w:b/>
          <w:lang w:bidi="ar-SA"/>
        </w:rPr>
        <w:tab/>
      </w:r>
      <w:r w:rsidRPr="00DB460D">
        <w:rPr>
          <w:rFonts w:eastAsia="Calibri"/>
          <w:b/>
          <w:lang w:bidi="ar-SA"/>
        </w:rPr>
        <w:tab/>
      </w:r>
      <w:r w:rsidRPr="00DB460D">
        <w:rPr>
          <w:rFonts w:eastAsia="Calibri"/>
          <w:b/>
          <w:lang w:bidi="ar-SA"/>
        </w:rPr>
        <w:tab/>
      </w:r>
      <w:r w:rsidRPr="00DB460D">
        <w:rPr>
          <w:rFonts w:eastAsia="Calibri"/>
          <w:sz w:val="16"/>
          <w:szCs w:val="16"/>
          <w:lang w:bidi="ar-SA"/>
        </w:rPr>
        <w:tab/>
      </w:r>
    </w:p>
    <w:p w14:paraId="1150594C" w14:textId="77777777" w:rsidR="00DB460D" w:rsidRPr="00DB460D" w:rsidRDefault="00DB460D" w:rsidP="00DB460D">
      <w:pPr>
        <w:spacing w:line="276" w:lineRule="auto"/>
        <w:ind w:left="720" w:firstLine="0"/>
        <w:contextualSpacing/>
        <w:rPr>
          <w:rFonts w:eastAsia="Calibri"/>
          <w:b/>
          <w:sz w:val="16"/>
          <w:szCs w:val="16"/>
          <w:lang w:bidi="ar-SA"/>
        </w:rPr>
      </w:pPr>
      <w:r w:rsidRPr="00DB460D">
        <w:rPr>
          <w:rFonts w:eastAsia="Calibri"/>
          <w:b/>
          <w:sz w:val="16"/>
          <w:szCs w:val="16"/>
          <w:lang w:bidi="ar-SA"/>
        </w:rPr>
        <w:t xml:space="preserve">                 (Source:  The Wall Street Journal &amp; Russell Investments websites)</w:t>
      </w:r>
    </w:p>
    <w:p w14:paraId="527E60FF" w14:textId="77777777" w:rsidR="00DB460D" w:rsidRPr="00DB460D" w:rsidRDefault="00DB460D" w:rsidP="00DB460D">
      <w:pPr>
        <w:spacing w:line="276" w:lineRule="auto"/>
        <w:ind w:firstLine="0"/>
        <w:rPr>
          <w:rFonts w:eastAsia="Calibri"/>
          <w:b/>
          <w:sz w:val="16"/>
          <w:szCs w:val="16"/>
          <w:lang w:bidi="ar-SA"/>
        </w:rPr>
      </w:pPr>
    </w:p>
    <w:p w14:paraId="555BECCE" w14:textId="77777777" w:rsidR="00DB460D" w:rsidRPr="00DB460D" w:rsidRDefault="00DB460D" w:rsidP="00DB460D">
      <w:pPr>
        <w:spacing w:line="276" w:lineRule="auto"/>
        <w:rPr>
          <w:rFonts w:eastAsia="Calibri"/>
          <w:sz w:val="16"/>
          <w:szCs w:val="16"/>
          <w:lang w:bidi="ar-SA"/>
        </w:rPr>
      </w:pPr>
      <w:r w:rsidRPr="00DB460D">
        <w:rPr>
          <w:rFonts w:eastAsia="Calibri"/>
          <w:lang w:bidi="ar-SA"/>
        </w:rPr>
        <w:t xml:space="preserve">           </w:t>
      </w:r>
      <w:r w:rsidRPr="00DB460D">
        <w:rPr>
          <w:rFonts w:eastAsia="Calibri"/>
          <w:sz w:val="16"/>
          <w:szCs w:val="16"/>
          <w:lang w:bidi="ar-SA"/>
        </w:rPr>
        <w:t>*Inclusion of these indexes is for illustrative purposes only.  Keep in mind that individuals cannot</w:t>
      </w:r>
    </w:p>
    <w:p w14:paraId="42987054" w14:textId="77777777" w:rsidR="00DB460D" w:rsidRPr="00DB460D" w:rsidRDefault="00DB460D" w:rsidP="00DB460D">
      <w:pPr>
        <w:spacing w:line="276" w:lineRule="auto"/>
        <w:rPr>
          <w:rFonts w:eastAsia="Calibri"/>
          <w:sz w:val="16"/>
          <w:szCs w:val="16"/>
          <w:lang w:bidi="ar-SA"/>
        </w:rPr>
      </w:pPr>
      <w:r w:rsidRPr="00DB460D">
        <w:rPr>
          <w:rFonts w:eastAsia="Calibri"/>
          <w:sz w:val="16"/>
          <w:szCs w:val="16"/>
          <w:lang w:bidi="ar-SA"/>
        </w:rPr>
        <w:t xml:space="preserve">                 invest directly in any index, and index performance does not include transaction costs or other fees,</w:t>
      </w:r>
    </w:p>
    <w:p w14:paraId="6D1A2A05" w14:textId="77777777" w:rsidR="00DB460D" w:rsidRPr="00DB460D" w:rsidRDefault="00DB460D" w:rsidP="00DB460D">
      <w:pPr>
        <w:spacing w:line="276" w:lineRule="auto"/>
        <w:rPr>
          <w:rFonts w:eastAsia="Calibri"/>
          <w:sz w:val="16"/>
          <w:szCs w:val="16"/>
          <w:lang w:bidi="ar-SA"/>
        </w:rPr>
      </w:pPr>
      <w:r w:rsidRPr="00DB460D">
        <w:rPr>
          <w:rFonts w:eastAsia="Calibri"/>
          <w:sz w:val="16"/>
          <w:szCs w:val="16"/>
          <w:lang w:bidi="ar-SA"/>
        </w:rPr>
        <w:t xml:space="preserve">                 which will affect actual investment performance.  Individual investor’s results will vary.  Past</w:t>
      </w:r>
    </w:p>
    <w:p w14:paraId="1FCAE40D" w14:textId="77777777" w:rsidR="00DB460D" w:rsidRPr="00DB460D" w:rsidRDefault="00DB460D" w:rsidP="00DB460D">
      <w:pPr>
        <w:spacing w:line="276" w:lineRule="auto"/>
        <w:rPr>
          <w:rFonts w:eastAsia="Calibri"/>
          <w:b/>
        </w:rPr>
      </w:pPr>
      <w:r w:rsidRPr="00DB460D">
        <w:rPr>
          <w:rFonts w:eastAsia="Calibri"/>
          <w:sz w:val="16"/>
          <w:szCs w:val="16"/>
          <w:lang w:bidi="ar-SA"/>
        </w:rPr>
        <w:t xml:space="preserve">                 performance does not guarantee future results.</w:t>
      </w:r>
    </w:p>
    <w:p w14:paraId="6145345C" w14:textId="77777777" w:rsidR="00DB460D" w:rsidRDefault="00DB460D" w:rsidP="000B10A3">
      <w:pPr>
        <w:tabs>
          <w:tab w:val="left" w:pos="1635"/>
          <w:tab w:val="center" w:pos="4806"/>
        </w:tabs>
        <w:jc w:val="center"/>
        <w:rPr>
          <w:b/>
        </w:rPr>
      </w:pPr>
    </w:p>
    <w:p w14:paraId="2D5088C0" w14:textId="77777777" w:rsidR="00DB460D" w:rsidRDefault="00DB460D" w:rsidP="000B10A3">
      <w:pPr>
        <w:tabs>
          <w:tab w:val="left" w:pos="1635"/>
          <w:tab w:val="center" w:pos="4806"/>
        </w:tabs>
        <w:jc w:val="center"/>
        <w:rPr>
          <w:b/>
        </w:rPr>
      </w:pPr>
    </w:p>
    <w:p w14:paraId="26A4875C" w14:textId="77777777" w:rsidR="00DB460D" w:rsidRDefault="00DB460D" w:rsidP="000B10A3">
      <w:pPr>
        <w:tabs>
          <w:tab w:val="left" w:pos="1635"/>
          <w:tab w:val="center" w:pos="4806"/>
        </w:tabs>
        <w:jc w:val="center"/>
        <w:rPr>
          <w:b/>
        </w:rPr>
      </w:pPr>
    </w:p>
    <w:p w14:paraId="6AEF8A23" w14:textId="77777777" w:rsidR="00DB460D" w:rsidRDefault="00DB460D" w:rsidP="000B10A3">
      <w:pPr>
        <w:tabs>
          <w:tab w:val="left" w:pos="1635"/>
          <w:tab w:val="center" w:pos="4806"/>
        </w:tabs>
        <w:jc w:val="center"/>
        <w:rPr>
          <w:b/>
        </w:rPr>
      </w:pPr>
    </w:p>
    <w:p w14:paraId="68BB02FB" w14:textId="77777777" w:rsidR="00DB460D" w:rsidRDefault="00DB460D" w:rsidP="000B10A3">
      <w:pPr>
        <w:tabs>
          <w:tab w:val="left" w:pos="1635"/>
          <w:tab w:val="center" w:pos="4806"/>
        </w:tabs>
        <w:jc w:val="center"/>
        <w:rPr>
          <w:b/>
        </w:rPr>
      </w:pPr>
    </w:p>
    <w:p w14:paraId="471E9088" w14:textId="77777777" w:rsidR="00DB460D" w:rsidRDefault="00DB460D" w:rsidP="000B10A3">
      <w:pPr>
        <w:tabs>
          <w:tab w:val="left" w:pos="1635"/>
          <w:tab w:val="center" w:pos="4806"/>
        </w:tabs>
        <w:jc w:val="center"/>
        <w:rPr>
          <w:b/>
        </w:rPr>
      </w:pPr>
    </w:p>
    <w:p w14:paraId="73C99055" w14:textId="28A7AFFB" w:rsidR="00AD78E2" w:rsidRDefault="00411B37" w:rsidP="000B10A3">
      <w:pPr>
        <w:tabs>
          <w:tab w:val="left" w:pos="1635"/>
          <w:tab w:val="center" w:pos="4806"/>
        </w:tabs>
        <w:jc w:val="center"/>
        <w:rPr>
          <w:b/>
        </w:rPr>
      </w:pPr>
      <w:r w:rsidRPr="00C22525">
        <w:rPr>
          <w:b/>
        </w:rPr>
        <w:lastRenderedPageBreak/>
        <w:t>FINANCIAL</w:t>
      </w:r>
      <w:bookmarkEnd w:id="0"/>
      <w:r w:rsidRPr="00C22525">
        <w:rPr>
          <w:b/>
        </w:rPr>
        <w:t xml:space="preserve"> AND INVESTMENT PLANNING</w:t>
      </w:r>
    </w:p>
    <w:p w14:paraId="16C375C6" w14:textId="77777777" w:rsidR="00160F6E" w:rsidRDefault="00160F6E" w:rsidP="00BB2B3E">
      <w:pPr>
        <w:tabs>
          <w:tab w:val="left" w:pos="480"/>
          <w:tab w:val="left" w:pos="885"/>
        </w:tabs>
        <w:ind w:firstLine="0"/>
        <w:jc w:val="center"/>
        <w:rPr>
          <w:b/>
        </w:rPr>
      </w:pPr>
    </w:p>
    <w:p w14:paraId="3F925757" w14:textId="77777777" w:rsidR="00D81141" w:rsidRDefault="00160F6E" w:rsidP="00E46471">
      <w:pPr>
        <w:tabs>
          <w:tab w:val="left" w:pos="480"/>
          <w:tab w:val="left" w:pos="540"/>
          <w:tab w:val="left" w:pos="885"/>
        </w:tabs>
        <w:ind w:firstLine="0"/>
        <w:rPr>
          <w:b/>
        </w:rPr>
      </w:pPr>
      <w:r>
        <w:rPr>
          <w:b/>
        </w:rPr>
        <w:tab/>
      </w:r>
    </w:p>
    <w:p w14:paraId="7C59EB1D" w14:textId="77777777" w:rsidR="00BC7302" w:rsidRDefault="00982D00" w:rsidP="00BC7302">
      <w:pPr>
        <w:tabs>
          <w:tab w:val="left" w:pos="480"/>
          <w:tab w:val="left" w:pos="540"/>
          <w:tab w:val="left" w:pos="885"/>
        </w:tabs>
        <w:ind w:firstLine="0"/>
        <w:rPr>
          <w:bCs/>
        </w:rPr>
      </w:pPr>
      <w:r>
        <w:rPr>
          <w:bCs/>
        </w:rPr>
        <w:t>This month I have three topics I want to share with you.</w:t>
      </w:r>
    </w:p>
    <w:p w14:paraId="5DF7BB79" w14:textId="77777777" w:rsidR="00BC7302" w:rsidRDefault="00BC7302" w:rsidP="00BC7302">
      <w:pPr>
        <w:tabs>
          <w:tab w:val="left" w:pos="480"/>
          <w:tab w:val="left" w:pos="540"/>
          <w:tab w:val="left" w:pos="885"/>
        </w:tabs>
        <w:ind w:firstLine="0"/>
        <w:rPr>
          <w:bCs/>
        </w:rPr>
      </w:pPr>
    </w:p>
    <w:p w14:paraId="1E4846A7" w14:textId="1367A3D1" w:rsidR="00982D00" w:rsidRPr="00BC7302" w:rsidRDefault="00982D00" w:rsidP="00BC7302">
      <w:pPr>
        <w:pStyle w:val="ListParagraph"/>
        <w:numPr>
          <w:ilvl w:val="0"/>
          <w:numId w:val="11"/>
        </w:numPr>
        <w:tabs>
          <w:tab w:val="left" w:pos="480"/>
          <w:tab w:val="left" w:pos="540"/>
          <w:tab w:val="left" w:pos="885"/>
        </w:tabs>
        <w:rPr>
          <w:bCs/>
        </w:rPr>
      </w:pPr>
      <w:r w:rsidRPr="00BC7302">
        <w:rPr>
          <w:bCs/>
        </w:rPr>
        <w:t>My mistake and a teaching/learning moment</w:t>
      </w:r>
    </w:p>
    <w:p w14:paraId="55CB2F7C" w14:textId="77777777" w:rsidR="00982D00" w:rsidRPr="00982D00" w:rsidRDefault="00982D00" w:rsidP="00982D00">
      <w:pPr>
        <w:numPr>
          <w:ilvl w:val="0"/>
          <w:numId w:val="11"/>
        </w:numPr>
        <w:tabs>
          <w:tab w:val="left" w:pos="480"/>
          <w:tab w:val="left" w:pos="540"/>
          <w:tab w:val="left" w:pos="885"/>
        </w:tabs>
        <w:rPr>
          <w:bCs/>
        </w:rPr>
      </w:pPr>
      <w:r w:rsidRPr="00982D00">
        <w:rPr>
          <w:bCs/>
        </w:rPr>
        <w:t>Federal Reserve policy, the pivot and U.S. Treasury rates</w:t>
      </w:r>
    </w:p>
    <w:p w14:paraId="6EE99870" w14:textId="77777777" w:rsidR="00982D00" w:rsidRPr="00982D00" w:rsidRDefault="00982D00" w:rsidP="00982D00">
      <w:pPr>
        <w:numPr>
          <w:ilvl w:val="0"/>
          <w:numId w:val="11"/>
        </w:numPr>
        <w:tabs>
          <w:tab w:val="left" w:pos="480"/>
          <w:tab w:val="left" w:pos="540"/>
          <w:tab w:val="left" w:pos="885"/>
        </w:tabs>
        <w:rPr>
          <w:bCs/>
        </w:rPr>
      </w:pPr>
      <w:r w:rsidRPr="00982D00">
        <w:rPr>
          <w:bCs/>
        </w:rPr>
        <w:t>The debt ceiling debate and the under reported story</w:t>
      </w:r>
    </w:p>
    <w:p w14:paraId="1289EC36" w14:textId="77777777" w:rsidR="00982D00" w:rsidRPr="00982D00" w:rsidRDefault="00982D00" w:rsidP="00982D00">
      <w:pPr>
        <w:tabs>
          <w:tab w:val="left" w:pos="480"/>
          <w:tab w:val="left" w:pos="540"/>
          <w:tab w:val="left" w:pos="885"/>
        </w:tabs>
        <w:ind w:firstLine="0"/>
        <w:rPr>
          <w:bCs/>
        </w:rPr>
      </w:pPr>
    </w:p>
    <w:p w14:paraId="296D7FC0" w14:textId="77A680DA" w:rsidR="00982D00" w:rsidRPr="00061527" w:rsidRDefault="00061527" w:rsidP="008C3FEA">
      <w:pPr>
        <w:tabs>
          <w:tab w:val="left" w:pos="480"/>
          <w:tab w:val="left" w:pos="540"/>
          <w:tab w:val="left" w:pos="885"/>
        </w:tabs>
        <w:ind w:firstLine="0"/>
        <w:jc w:val="center"/>
        <w:rPr>
          <w:b/>
        </w:rPr>
      </w:pPr>
      <w:r w:rsidRPr="00061527">
        <w:rPr>
          <w:b/>
        </w:rPr>
        <w:t xml:space="preserve">I. </w:t>
      </w:r>
      <w:r w:rsidR="00982D00" w:rsidRPr="00061527">
        <w:rPr>
          <w:b/>
        </w:rPr>
        <w:t>My Mistake</w:t>
      </w:r>
    </w:p>
    <w:p w14:paraId="69C8AA4B" w14:textId="77777777" w:rsidR="00982D00" w:rsidRDefault="00982D00" w:rsidP="00E46471">
      <w:pPr>
        <w:tabs>
          <w:tab w:val="left" w:pos="480"/>
          <w:tab w:val="left" w:pos="540"/>
          <w:tab w:val="left" w:pos="885"/>
        </w:tabs>
        <w:ind w:firstLine="0"/>
        <w:rPr>
          <w:bCs/>
        </w:rPr>
      </w:pPr>
    </w:p>
    <w:p w14:paraId="11ED9FC9" w14:textId="543D7600" w:rsidR="00982D00" w:rsidRDefault="00982D00" w:rsidP="00E46471">
      <w:pPr>
        <w:tabs>
          <w:tab w:val="left" w:pos="480"/>
          <w:tab w:val="left" w:pos="540"/>
          <w:tab w:val="left" w:pos="885"/>
        </w:tabs>
        <w:ind w:firstLine="0"/>
        <w:rPr>
          <w:bCs/>
        </w:rPr>
      </w:pPr>
      <w:r>
        <w:rPr>
          <w:bCs/>
        </w:rPr>
        <w:tab/>
        <w:t xml:space="preserve">Please go back and look at the first page. You will note that the April 30, 2023, year to date </w:t>
      </w:r>
      <w:r w:rsidR="008C3FEA">
        <w:rPr>
          <w:bCs/>
        </w:rPr>
        <w:t xml:space="preserve">return </w:t>
      </w:r>
      <w:r w:rsidR="00BC7302">
        <w:rPr>
          <w:bCs/>
        </w:rPr>
        <w:t xml:space="preserve">for the Dow Jones Industrial Average </w:t>
      </w:r>
      <w:r w:rsidR="008C3FEA">
        <w:rPr>
          <w:bCs/>
        </w:rPr>
        <w:t>(</w:t>
      </w:r>
      <w:r w:rsidR="00BC7302">
        <w:rPr>
          <w:bCs/>
        </w:rPr>
        <w:t>DJIA</w:t>
      </w:r>
      <w:r w:rsidR="008C3FEA">
        <w:rPr>
          <w:bCs/>
        </w:rPr>
        <w:t xml:space="preserve">) </w:t>
      </w:r>
      <w:r>
        <w:rPr>
          <w:bCs/>
        </w:rPr>
        <w:t xml:space="preserve">was 7.63%. This is incorrect. And not slightly incorrect. The correct number is </w:t>
      </w:r>
      <w:r w:rsidR="001926B7">
        <w:rPr>
          <w:bCs/>
        </w:rPr>
        <w:t>2.9</w:t>
      </w:r>
      <w:r>
        <w:rPr>
          <w:bCs/>
        </w:rPr>
        <w:t>%.</w:t>
      </w:r>
    </w:p>
    <w:p w14:paraId="46868F77" w14:textId="697809BD" w:rsidR="00982D00" w:rsidRDefault="00982D00" w:rsidP="00E46471">
      <w:pPr>
        <w:tabs>
          <w:tab w:val="left" w:pos="480"/>
          <w:tab w:val="left" w:pos="540"/>
          <w:tab w:val="left" w:pos="885"/>
        </w:tabs>
        <w:ind w:firstLine="0"/>
        <w:rPr>
          <w:bCs/>
        </w:rPr>
      </w:pPr>
      <w:r>
        <w:rPr>
          <w:bCs/>
        </w:rPr>
        <w:tab/>
        <w:t>How could someone of my limited intelligence make such an egregious error?</w:t>
      </w:r>
    </w:p>
    <w:p w14:paraId="3B2205EE" w14:textId="127B048E" w:rsidR="00982D00" w:rsidRDefault="00982D00" w:rsidP="00E46471">
      <w:pPr>
        <w:tabs>
          <w:tab w:val="left" w:pos="480"/>
          <w:tab w:val="left" w:pos="540"/>
          <w:tab w:val="left" w:pos="885"/>
        </w:tabs>
        <w:ind w:firstLine="0"/>
        <w:rPr>
          <w:bCs/>
        </w:rPr>
      </w:pPr>
      <w:r>
        <w:rPr>
          <w:bCs/>
        </w:rPr>
        <w:tab/>
        <w:t xml:space="preserve">When my colleague gave </w:t>
      </w:r>
      <w:r w:rsidR="0012128C">
        <w:rPr>
          <w:bCs/>
        </w:rPr>
        <w:t>me</w:t>
      </w:r>
      <w:r>
        <w:rPr>
          <w:bCs/>
        </w:rPr>
        <w:t xml:space="preserve"> various index return numbers, and the DJIA was </w:t>
      </w:r>
      <w:r w:rsidR="00A52FBE">
        <w:rPr>
          <w:bCs/>
        </w:rPr>
        <w:t>2.9</w:t>
      </w:r>
      <w:r>
        <w:rPr>
          <w:bCs/>
        </w:rPr>
        <w:t xml:space="preserve">%, I said this cannot be accurate. She pointed out that </w:t>
      </w:r>
      <w:r w:rsidR="00A52FBE">
        <w:rPr>
          <w:bCs/>
        </w:rPr>
        <w:t>2.9</w:t>
      </w:r>
      <w:r>
        <w:rPr>
          <w:bCs/>
        </w:rPr>
        <w:t>% was precisely what the Wall Street Journal published.</w:t>
      </w:r>
    </w:p>
    <w:p w14:paraId="030CBE91" w14:textId="659E6294" w:rsidR="00982D00" w:rsidRDefault="00982D00" w:rsidP="00E46471">
      <w:pPr>
        <w:tabs>
          <w:tab w:val="left" w:pos="480"/>
          <w:tab w:val="left" w:pos="540"/>
          <w:tab w:val="left" w:pos="885"/>
        </w:tabs>
        <w:ind w:firstLine="0"/>
        <w:rPr>
          <w:bCs/>
        </w:rPr>
      </w:pPr>
      <w:r>
        <w:rPr>
          <w:bCs/>
        </w:rPr>
        <w:tab/>
        <w:t xml:space="preserve">I said this must be a mistake. How </w:t>
      </w:r>
      <w:r w:rsidR="008C3FEA">
        <w:rPr>
          <w:bCs/>
        </w:rPr>
        <w:t>c</w:t>
      </w:r>
      <w:r>
        <w:rPr>
          <w:bCs/>
        </w:rPr>
        <w:t xml:space="preserve">ould the Dow be up less than </w:t>
      </w:r>
      <w:r w:rsidR="00A52FBE">
        <w:rPr>
          <w:bCs/>
        </w:rPr>
        <w:t>3%</w:t>
      </w:r>
      <w:r>
        <w:rPr>
          <w:bCs/>
        </w:rPr>
        <w:t xml:space="preserve"> when the S&amp;P 500 was up ove</w:t>
      </w:r>
      <w:r w:rsidR="009D612C">
        <w:rPr>
          <w:bCs/>
        </w:rPr>
        <w:t xml:space="preserve">r </w:t>
      </w:r>
      <w:r>
        <w:rPr>
          <w:bCs/>
        </w:rPr>
        <w:t xml:space="preserve">8% and the NASDAQ </w:t>
      </w:r>
      <w:r w:rsidR="00A52FBE">
        <w:rPr>
          <w:bCs/>
        </w:rPr>
        <w:t xml:space="preserve">was up over 16%. </w:t>
      </w:r>
    </w:p>
    <w:p w14:paraId="4909F378" w14:textId="76E4B922" w:rsidR="00A52FBE" w:rsidRDefault="00A52FBE" w:rsidP="00E46471">
      <w:pPr>
        <w:tabs>
          <w:tab w:val="left" w:pos="480"/>
          <w:tab w:val="left" w:pos="540"/>
          <w:tab w:val="left" w:pos="885"/>
        </w:tabs>
        <w:ind w:firstLine="0"/>
        <w:rPr>
          <w:bCs/>
        </w:rPr>
      </w:pPr>
      <w:r>
        <w:rPr>
          <w:bCs/>
        </w:rPr>
        <w:tab/>
        <w:t>Obviously, the Wall Street Journal must be mistaken. So, I went to Morningstar and found an Exchange Traded Fund titled Dow Index, symbol IYY. It was up 7.63%. And since that fit my bias, I instructed my colleague to use the higher number.</w:t>
      </w:r>
    </w:p>
    <w:p w14:paraId="5B302C32" w14:textId="4FB2D840" w:rsidR="00A52FBE" w:rsidRDefault="00A52FBE" w:rsidP="00E46471">
      <w:pPr>
        <w:tabs>
          <w:tab w:val="left" w:pos="480"/>
          <w:tab w:val="left" w:pos="540"/>
          <w:tab w:val="left" w:pos="885"/>
        </w:tabs>
        <w:ind w:firstLine="0"/>
        <w:rPr>
          <w:bCs/>
        </w:rPr>
      </w:pPr>
      <w:r>
        <w:rPr>
          <w:bCs/>
        </w:rPr>
        <w:tab/>
        <w:t>I was wrong.</w:t>
      </w:r>
    </w:p>
    <w:p w14:paraId="0EF1A5BA" w14:textId="298B9A0E" w:rsidR="00A52FBE" w:rsidRDefault="00A52FBE" w:rsidP="00E46471">
      <w:pPr>
        <w:tabs>
          <w:tab w:val="left" w:pos="480"/>
          <w:tab w:val="left" w:pos="540"/>
          <w:tab w:val="left" w:pos="885"/>
        </w:tabs>
        <w:ind w:firstLine="0"/>
        <w:rPr>
          <w:bCs/>
        </w:rPr>
      </w:pPr>
      <w:r>
        <w:rPr>
          <w:bCs/>
        </w:rPr>
        <w:tab/>
        <w:t>The Dow Jones Industrial Average was in fact up only 2.9% for the calendar year through April.</w:t>
      </w:r>
    </w:p>
    <w:p w14:paraId="3C009378" w14:textId="0E33BB5B" w:rsidR="00A52FBE" w:rsidRDefault="00A52FBE" w:rsidP="00E46471">
      <w:pPr>
        <w:tabs>
          <w:tab w:val="left" w:pos="480"/>
          <w:tab w:val="left" w:pos="540"/>
          <w:tab w:val="left" w:pos="885"/>
        </w:tabs>
        <w:ind w:firstLine="0"/>
        <w:rPr>
          <w:bCs/>
        </w:rPr>
      </w:pPr>
      <w:r>
        <w:rPr>
          <w:bCs/>
        </w:rPr>
        <w:tab/>
        <w:t xml:space="preserve">While the Dow is famous in the financial world, it is only made up of 30 stocks which are chosen by Dow Jones. And while the index is very old and well known, </w:t>
      </w:r>
      <w:r w:rsidR="00BC7302">
        <w:rPr>
          <w:bCs/>
        </w:rPr>
        <w:t xml:space="preserve">its </w:t>
      </w:r>
      <w:r>
        <w:rPr>
          <w:bCs/>
        </w:rPr>
        <w:t xml:space="preserve">mathematical construction gives weights </w:t>
      </w:r>
      <w:r w:rsidR="00BC7302">
        <w:rPr>
          <w:bCs/>
        </w:rPr>
        <w:t>to</w:t>
      </w:r>
      <w:r>
        <w:rPr>
          <w:bCs/>
        </w:rPr>
        <w:t xml:space="preserve"> </w:t>
      </w:r>
      <w:r w:rsidR="000B3FFB">
        <w:rPr>
          <w:bCs/>
        </w:rPr>
        <w:t>company stocks based upon their market price.</w:t>
      </w:r>
    </w:p>
    <w:p w14:paraId="15C67585" w14:textId="008B1E40" w:rsidR="000B3FFB" w:rsidRDefault="000B3FFB" w:rsidP="00E46471">
      <w:pPr>
        <w:tabs>
          <w:tab w:val="left" w:pos="480"/>
          <w:tab w:val="left" w:pos="540"/>
          <w:tab w:val="left" w:pos="885"/>
        </w:tabs>
        <w:ind w:firstLine="0"/>
        <w:rPr>
          <w:bCs/>
        </w:rPr>
      </w:pPr>
      <w:r>
        <w:rPr>
          <w:bCs/>
        </w:rPr>
        <w:tab/>
        <w:t xml:space="preserve">Thus United Healthcare, having a higher stock </w:t>
      </w:r>
      <w:r w:rsidR="00223D2E">
        <w:rPr>
          <w:bCs/>
        </w:rPr>
        <w:t>price,</w:t>
      </w:r>
      <w:r>
        <w:rPr>
          <w:bCs/>
        </w:rPr>
        <w:t xml:space="preserve"> has more impact than the world’s most valuable company</w:t>
      </w:r>
      <w:r w:rsidR="008C3FEA">
        <w:rPr>
          <w:bCs/>
        </w:rPr>
        <w:t>,</w:t>
      </w:r>
      <w:r>
        <w:rPr>
          <w:bCs/>
        </w:rPr>
        <w:t xml:space="preserve"> Apple. That value is determined by the price of Apple stock multiplied by the number of shares. This is its market capitalization. </w:t>
      </w:r>
    </w:p>
    <w:p w14:paraId="187F668F" w14:textId="49A26456" w:rsidR="000B3FFB" w:rsidRDefault="000B3FFB" w:rsidP="00E46471">
      <w:pPr>
        <w:tabs>
          <w:tab w:val="left" w:pos="480"/>
          <w:tab w:val="left" w:pos="540"/>
          <w:tab w:val="left" w:pos="885"/>
        </w:tabs>
        <w:ind w:firstLine="0"/>
        <w:rPr>
          <w:bCs/>
        </w:rPr>
      </w:pPr>
      <w:r>
        <w:rPr>
          <w:bCs/>
        </w:rPr>
        <w:tab/>
        <w:t>The Standard &amp; Poor’s Index value is calculated based on the market cap of each company</w:t>
      </w:r>
      <w:r w:rsidR="008C3FEA">
        <w:rPr>
          <w:bCs/>
        </w:rPr>
        <w:t>.</w:t>
      </w:r>
      <w:r>
        <w:rPr>
          <w:bCs/>
        </w:rPr>
        <w:t xml:space="preserve"> </w:t>
      </w:r>
    </w:p>
    <w:p w14:paraId="5C9C32B9" w14:textId="24281F9D" w:rsidR="00223D2E" w:rsidRPr="00223D2E" w:rsidRDefault="00223D2E" w:rsidP="00E46471">
      <w:pPr>
        <w:tabs>
          <w:tab w:val="left" w:pos="480"/>
          <w:tab w:val="left" w:pos="540"/>
          <w:tab w:val="left" w:pos="885"/>
        </w:tabs>
        <w:ind w:firstLine="0"/>
        <w:rPr>
          <w:b/>
          <w:sz w:val="16"/>
          <w:szCs w:val="16"/>
        </w:rPr>
      </w:pPr>
      <w:r>
        <w:rPr>
          <w:bCs/>
        </w:rPr>
        <w:tab/>
        <w:t xml:space="preserve">The NASDAQ Composite Index is calculated by taking the total value of the share weight of all the stocks in the exchange multiplied by each security’s closing price. </w:t>
      </w:r>
      <w:r w:rsidRPr="00223D2E">
        <w:rPr>
          <w:b/>
          <w:sz w:val="16"/>
          <w:szCs w:val="16"/>
        </w:rPr>
        <w:t>Source:  Corporate Finance Institute</w:t>
      </w:r>
    </w:p>
    <w:p w14:paraId="4472F6D3" w14:textId="5499E221" w:rsidR="00A52FBE" w:rsidRDefault="00A52FBE" w:rsidP="00E46471">
      <w:pPr>
        <w:tabs>
          <w:tab w:val="left" w:pos="480"/>
          <w:tab w:val="left" w:pos="540"/>
          <w:tab w:val="left" w:pos="885"/>
        </w:tabs>
        <w:ind w:firstLine="0"/>
        <w:rPr>
          <w:bCs/>
        </w:rPr>
      </w:pPr>
      <w:r>
        <w:rPr>
          <w:bCs/>
        </w:rPr>
        <w:tab/>
      </w:r>
      <w:r w:rsidR="00223D2E">
        <w:rPr>
          <w:bCs/>
        </w:rPr>
        <w:t>Hence, the differences in the ways in which equities indexes are calculated can lead to big differences in their returns during the same time period.</w:t>
      </w:r>
    </w:p>
    <w:p w14:paraId="0E1D59E7" w14:textId="47EE9863" w:rsidR="00223D2E" w:rsidRDefault="00223D2E" w:rsidP="00E46471">
      <w:pPr>
        <w:tabs>
          <w:tab w:val="left" w:pos="480"/>
          <w:tab w:val="left" w:pos="540"/>
          <w:tab w:val="left" w:pos="885"/>
        </w:tabs>
        <w:ind w:firstLine="0"/>
        <w:rPr>
          <w:bCs/>
        </w:rPr>
      </w:pPr>
      <w:r>
        <w:rPr>
          <w:bCs/>
        </w:rPr>
        <w:tab/>
        <w:t xml:space="preserve">What is an investor to make of all this? Perhaps very little. </w:t>
      </w:r>
    </w:p>
    <w:p w14:paraId="669752E3" w14:textId="76B1204F" w:rsidR="00735E90" w:rsidRDefault="00735E90" w:rsidP="00E46471">
      <w:pPr>
        <w:tabs>
          <w:tab w:val="left" w:pos="480"/>
          <w:tab w:val="left" w:pos="540"/>
          <w:tab w:val="left" w:pos="885"/>
        </w:tabs>
        <w:ind w:firstLine="0"/>
        <w:rPr>
          <w:bCs/>
        </w:rPr>
      </w:pPr>
      <w:r>
        <w:rPr>
          <w:bCs/>
        </w:rPr>
        <w:tab/>
        <w:t>Every month I publish a variety of year to date index returns. If you choose, you can select appropriate benchmarks against which you can measure your investment performance.</w:t>
      </w:r>
    </w:p>
    <w:p w14:paraId="74A91BE8" w14:textId="32C37ECC" w:rsidR="00735E90" w:rsidRDefault="00735E90" w:rsidP="00E46471">
      <w:pPr>
        <w:tabs>
          <w:tab w:val="left" w:pos="480"/>
          <w:tab w:val="left" w:pos="540"/>
          <w:tab w:val="left" w:pos="885"/>
        </w:tabs>
        <w:ind w:firstLine="0"/>
        <w:rPr>
          <w:bCs/>
        </w:rPr>
      </w:pPr>
      <w:r>
        <w:rPr>
          <w:bCs/>
        </w:rPr>
        <w:tab/>
        <w:t xml:space="preserve">This exercise can be educational and perhaps even useful. However, the more thoughtful and important question is this. “How am I doing and am I making progress </w:t>
      </w:r>
      <w:r>
        <w:rPr>
          <w:bCs/>
        </w:rPr>
        <w:lastRenderedPageBreak/>
        <w:t xml:space="preserve">towards my goals and objectives?” This is easy to ask, but not necessarily so easy to answer. </w:t>
      </w:r>
    </w:p>
    <w:p w14:paraId="0339DCCB" w14:textId="77777777" w:rsidR="00061527" w:rsidRDefault="00061527" w:rsidP="00E46471">
      <w:pPr>
        <w:tabs>
          <w:tab w:val="left" w:pos="480"/>
          <w:tab w:val="left" w:pos="540"/>
          <w:tab w:val="left" w:pos="885"/>
        </w:tabs>
        <w:ind w:firstLine="0"/>
        <w:rPr>
          <w:bCs/>
        </w:rPr>
      </w:pPr>
    </w:p>
    <w:p w14:paraId="45CB8904" w14:textId="518EC4C0" w:rsidR="00061527" w:rsidRPr="00061527" w:rsidRDefault="00061527" w:rsidP="008C3FEA">
      <w:pPr>
        <w:tabs>
          <w:tab w:val="left" w:pos="480"/>
          <w:tab w:val="left" w:pos="540"/>
          <w:tab w:val="left" w:pos="885"/>
        </w:tabs>
        <w:ind w:firstLine="0"/>
        <w:jc w:val="center"/>
        <w:rPr>
          <w:b/>
        </w:rPr>
      </w:pPr>
      <w:r w:rsidRPr="00061527">
        <w:rPr>
          <w:b/>
        </w:rPr>
        <w:t>II. The Fed Pivot</w:t>
      </w:r>
    </w:p>
    <w:p w14:paraId="424DB26C" w14:textId="77777777" w:rsidR="00982D00" w:rsidRDefault="00982D00" w:rsidP="00E46471">
      <w:pPr>
        <w:tabs>
          <w:tab w:val="left" w:pos="480"/>
          <w:tab w:val="left" w:pos="540"/>
          <w:tab w:val="left" w:pos="885"/>
        </w:tabs>
        <w:ind w:firstLine="0"/>
        <w:rPr>
          <w:bCs/>
        </w:rPr>
      </w:pPr>
    </w:p>
    <w:p w14:paraId="566B0E34" w14:textId="5C91D2C1" w:rsidR="00061527" w:rsidRDefault="00061527" w:rsidP="00E46471">
      <w:pPr>
        <w:tabs>
          <w:tab w:val="left" w:pos="480"/>
          <w:tab w:val="left" w:pos="540"/>
          <w:tab w:val="left" w:pos="885"/>
        </w:tabs>
        <w:ind w:firstLine="0"/>
        <w:rPr>
          <w:bCs/>
        </w:rPr>
      </w:pPr>
      <w:r>
        <w:rPr>
          <w:bCs/>
        </w:rPr>
        <w:tab/>
        <w:t xml:space="preserve">What the heck does the Fed pivot mean? I know what </w:t>
      </w:r>
      <w:r w:rsidR="008C3FEA">
        <w:rPr>
          <w:bCs/>
        </w:rPr>
        <w:t>pivot</w:t>
      </w:r>
      <w:r>
        <w:rPr>
          <w:bCs/>
        </w:rPr>
        <w:t xml:space="preserve"> means in basketball.</w:t>
      </w:r>
    </w:p>
    <w:p w14:paraId="292A89FD" w14:textId="7F470145" w:rsidR="00061527" w:rsidRDefault="00061527" w:rsidP="00E46471">
      <w:pPr>
        <w:tabs>
          <w:tab w:val="left" w:pos="480"/>
          <w:tab w:val="left" w:pos="540"/>
          <w:tab w:val="left" w:pos="885"/>
        </w:tabs>
        <w:ind w:firstLine="0"/>
        <w:rPr>
          <w:bCs/>
        </w:rPr>
      </w:pPr>
      <w:r>
        <w:rPr>
          <w:bCs/>
        </w:rPr>
        <w:tab/>
        <w:t>The Fed pivot is when, at some time in the indeterminate future, the Federal Reserve will stop raising the Fed Funds rate and begin to lower rates.</w:t>
      </w:r>
    </w:p>
    <w:p w14:paraId="0851AF80" w14:textId="7835E6FA" w:rsidR="00536A63" w:rsidRDefault="00061527" w:rsidP="00E46471">
      <w:pPr>
        <w:tabs>
          <w:tab w:val="left" w:pos="480"/>
          <w:tab w:val="left" w:pos="540"/>
          <w:tab w:val="left" w:pos="885"/>
        </w:tabs>
        <w:ind w:firstLine="0"/>
        <w:rPr>
          <w:bCs/>
        </w:rPr>
      </w:pPr>
      <w:r>
        <w:rPr>
          <w:bCs/>
        </w:rPr>
        <w:tab/>
        <w:t xml:space="preserve">And while white papers galore and market commentaries are replete with </w:t>
      </w:r>
      <w:r w:rsidR="005657C1">
        <w:rPr>
          <w:bCs/>
        </w:rPr>
        <w:t>pivot</w:t>
      </w:r>
      <w:r w:rsidR="00536A63">
        <w:rPr>
          <w:bCs/>
        </w:rPr>
        <w:t xml:space="preserve"> speculation, no one knows. And I suspect that includes Federal Reserve Chair Jerome Powell. He has stated the pivot decision will be “data driven.”</w:t>
      </w:r>
    </w:p>
    <w:p w14:paraId="4A6BCAAD" w14:textId="77777777" w:rsidR="00536A63" w:rsidRDefault="00536A63" w:rsidP="00E46471">
      <w:pPr>
        <w:tabs>
          <w:tab w:val="left" w:pos="480"/>
          <w:tab w:val="left" w:pos="540"/>
          <w:tab w:val="left" w:pos="885"/>
        </w:tabs>
        <w:ind w:firstLine="0"/>
        <w:rPr>
          <w:bCs/>
        </w:rPr>
      </w:pPr>
      <w:r>
        <w:rPr>
          <w:bCs/>
        </w:rPr>
        <w:tab/>
        <w:t>This reminds me of the Supreme Court justice, who when asked what legally defines pornography, famously said, “I will know it when I see it.”</w:t>
      </w:r>
    </w:p>
    <w:p w14:paraId="7376F6FA" w14:textId="4E537730" w:rsidR="00536A63" w:rsidRDefault="00536A63" w:rsidP="00E46471">
      <w:pPr>
        <w:tabs>
          <w:tab w:val="left" w:pos="480"/>
          <w:tab w:val="left" w:pos="540"/>
          <w:tab w:val="left" w:pos="885"/>
        </w:tabs>
        <w:ind w:firstLine="0"/>
        <w:rPr>
          <w:bCs/>
        </w:rPr>
      </w:pPr>
      <w:r>
        <w:rPr>
          <w:bCs/>
        </w:rPr>
        <w:tab/>
        <w:t>And while the point at which the Fed does in fact pivot to lowering the Fed funds rate</w:t>
      </w:r>
      <w:r w:rsidR="008C3FEA">
        <w:rPr>
          <w:bCs/>
        </w:rPr>
        <w:t xml:space="preserve"> is important</w:t>
      </w:r>
      <w:r>
        <w:rPr>
          <w:bCs/>
        </w:rPr>
        <w:t xml:space="preserve">, it does not necessarily mean bond investors should await the event, as if it were </w:t>
      </w:r>
      <w:r w:rsidR="008C3FEA">
        <w:rPr>
          <w:bCs/>
        </w:rPr>
        <w:t xml:space="preserve">like </w:t>
      </w:r>
      <w:r>
        <w:rPr>
          <w:bCs/>
        </w:rPr>
        <w:t xml:space="preserve">when you were told by the lifeguard you could get back into the pool. </w:t>
      </w:r>
    </w:p>
    <w:p w14:paraId="0312DF0B" w14:textId="77777777" w:rsidR="00536A63" w:rsidRDefault="00536A63" w:rsidP="00E46471">
      <w:pPr>
        <w:tabs>
          <w:tab w:val="left" w:pos="480"/>
          <w:tab w:val="left" w:pos="540"/>
          <w:tab w:val="left" w:pos="885"/>
        </w:tabs>
        <w:ind w:firstLine="0"/>
        <w:rPr>
          <w:bCs/>
        </w:rPr>
      </w:pPr>
      <w:r>
        <w:rPr>
          <w:bCs/>
        </w:rPr>
        <w:tab/>
        <w:t xml:space="preserve">I came across this interesting information about falling interest rates and the Fed cutting rates. </w:t>
      </w:r>
    </w:p>
    <w:p w14:paraId="4C6963D3" w14:textId="77777777" w:rsidR="00536A63" w:rsidRDefault="00536A63" w:rsidP="00E46471">
      <w:pPr>
        <w:tabs>
          <w:tab w:val="left" w:pos="480"/>
          <w:tab w:val="left" w:pos="540"/>
          <w:tab w:val="left" w:pos="885"/>
        </w:tabs>
        <w:ind w:firstLine="0"/>
        <w:rPr>
          <w:bCs/>
        </w:rPr>
      </w:pPr>
    </w:p>
    <w:p w14:paraId="13ED7E4D" w14:textId="6D44E052" w:rsidR="00536A63" w:rsidRDefault="00536A63" w:rsidP="00EA1784">
      <w:pPr>
        <w:tabs>
          <w:tab w:val="left" w:pos="480"/>
          <w:tab w:val="left" w:pos="540"/>
          <w:tab w:val="left" w:pos="885"/>
        </w:tabs>
        <w:ind w:firstLine="0"/>
        <w:jc w:val="center"/>
        <w:rPr>
          <w:b/>
        </w:rPr>
      </w:pPr>
      <w:r>
        <w:rPr>
          <w:b/>
        </w:rPr>
        <w:t>US</w:t>
      </w:r>
      <w:r w:rsidR="008C3FEA">
        <w:rPr>
          <w:b/>
        </w:rPr>
        <w:t xml:space="preserve"> Treasury</w:t>
      </w:r>
      <w:r>
        <w:rPr>
          <w:b/>
        </w:rPr>
        <w:t xml:space="preserve"> rates historically start falling PRIOR to Fed cutting rates</w:t>
      </w:r>
    </w:p>
    <w:p w14:paraId="43DDDEA6" w14:textId="68734781" w:rsidR="00061527" w:rsidRPr="00536A63" w:rsidRDefault="00536A63" w:rsidP="00EA1784">
      <w:pPr>
        <w:tabs>
          <w:tab w:val="left" w:pos="480"/>
          <w:tab w:val="left" w:pos="540"/>
          <w:tab w:val="left" w:pos="885"/>
        </w:tabs>
        <w:ind w:firstLine="0"/>
        <w:jc w:val="center"/>
        <w:rPr>
          <w:bCs/>
          <w:i/>
          <w:iCs/>
        </w:rPr>
      </w:pPr>
      <w:r w:rsidRPr="00536A63">
        <w:rPr>
          <w:bCs/>
          <w:i/>
          <w:iCs/>
        </w:rPr>
        <w:t>Last 30 years</w:t>
      </w:r>
    </w:p>
    <w:p w14:paraId="7A463523" w14:textId="77777777" w:rsidR="00982D00" w:rsidRDefault="00982D00" w:rsidP="00E46471">
      <w:pPr>
        <w:tabs>
          <w:tab w:val="left" w:pos="480"/>
          <w:tab w:val="left" w:pos="540"/>
          <w:tab w:val="left" w:pos="885"/>
        </w:tabs>
        <w:ind w:firstLine="0"/>
        <w:rPr>
          <w:bCs/>
        </w:rPr>
      </w:pPr>
    </w:p>
    <w:p w14:paraId="04906B5D" w14:textId="77777777" w:rsidR="00982D00" w:rsidRDefault="00982D00" w:rsidP="00E46471">
      <w:pPr>
        <w:tabs>
          <w:tab w:val="left" w:pos="480"/>
          <w:tab w:val="left" w:pos="540"/>
          <w:tab w:val="left" w:pos="885"/>
        </w:tabs>
        <w:ind w:firstLine="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1726"/>
        <w:gridCol w:w="1726"/>
        <w:gridCol w:w="1726"/>
        <w:gridCol w:w="1726"/>
      </w:tblGrid>
      <w:tr w:rsidR="00536A63" w14:paraId="5B9DC292" w14:textId="77777777" w:rsidTr="00EA1784">
        <w:tc>
          <w:tcPr>
            <w:tcW w:w="1726" w:type="dxa"/>
          </w:tcPr>
          <w:p w14:paraId="51E48273" w14:textId="316B6116" w:rsidR="00536A63" w:rsidRPr="00536A63" w:rsidRDefault="00536A63" w:rsidP="00536A63">
            <w:pPr>
              <w:tabs>
                <w:tab w:val="left" w:pos="480"/>
                <w:tab w:val="left" w:pos="540"/>
                <w:tab w:val="left" w:pos="885"/>
              </w:tabs>
              <w:ind w:firstLine="0"/>
              <w:jc w:val="center"/>
              <w:rPr>
                <w:b/>
              </w:rPr>
            </w:pPr>
            <w:r w:rsidRPr="00536A63">
              <w:rPr>
                <w:b/>
              </w:rPr>
              <w:t xml:space="preserve">UST </w:t>
            </w:r>
            <w:r w:rsidR="00AA5DDD">
              <w:rPr>
                <w:b/>
              </w:rPr>
              <w:t>Treasury</w:t>
            </w:r>
          </w:p>
        </w:tc>
        <w:tc>
          <w:tcPr>
            <w:tcW w:w="1726" w:type="dxa"/>
          </w:tcPr>
          <w:p w14:paraId="466D5038" w14:textId="1A0595D2" w:rsidR="00536A63" w:rsidRPr="00536A63" w:rsidRDefault="00536A63" w:rsidP="00536A63">
            <w:pPr>
              <w:tabs>
                <w:tab w:val="left" w:pos="480"/>
                <w:tab w:val="left" w:pos="540"/>
                <w:tab w:val="left" w:pos="885"/>
              </w:tabs>
              <w:ind w:firstLine="0"/>
              <w:jc w:val="center"/>
              <w:rPr>
                <w:b/>
              </w:rPr>
            </w:pPr>
            <w:r w:rsidRPr="00536A63">
              <w:rPr>
                <w:b/>
              </w:rPr>
              <w:t>Rates begin falling prior to 1</w:t>
            </w:r>
            <w:r w:rsidRPr="00536A63">
              <w:rPr>
                <w:b/>
                <w:vertAlign w:val="superscript"/>
              </w:rPr>
              <w:t>st</w:t>
            </w:r>
            <w:r w:rsidRPr="00536A63">
              <w:rPr>
                <w:b/>
              </w:rPr>
              <w:t xml:space="preserve"> Fed cut</w:t>
            </w:r>
          </w:p>
        </w:tc>
        <w:tc>
          <w:tcPr>
            <w:tcW w:w="1726" w:type="dxa"/>
          </w:tcPr>
          <w:p w14:paraId="6AAB3F6B" w14:textId="09DB7F24" w:rsidR="00536A63" w:rsidRPr="00536A63" w:rsidRDefault="00536A63" w:rsidP="00536A63">
            <w:pPr>
              <w:tabs>
                <w:tab w:val="left" w:pos="480"/>
                <w:tab w:val="left" w:pos="540"/>
                <w:tab w:val="left" w:pos="885"/>
              </w:tabs>
              <w:ind w:firstLine="0"/>
              <w:jc w:val="center"/>
              <w:rPr>
                <w:b/>
              </w:rPr>
            </w:pPr>
            <w:r w:rsidRPr="00536A63">
              <w:rPr>
                <w:b/>
              </w:rPr>
              <w:t>Avg drop in rates prior to 1</w:t>
            </w:r>
            <w:r w:rsidRPr="00536A63">
              <w:rPr>
                <w:b/>
                <w:vertAlign w:val="superscript"/>
              </w:rPr>
              <w:t>st</w:t>
            </w:r>
            <w:r w:rsidRPr="00536A63">
              <w:rPr>
                <w:b/>
              </w:rPr>
              <w:t xml:space="preserve"> Fed cut</w:t>
            </w:r>
          </w:p>
        </w:tc>
        <w:tc>
          <w:tcPr>
            <w:tcW w:w="1726" w:type="dxa"/>
          </w:tcPr>
          <w:p w14:paraId="46ACEC39" w14:textId="77525683" w:rsidR="00536A63" w:rsidRPr="00536A63" w:rsidRDefault="00536A63" w:rsidP="00536A63">
            <w:pPr>
              <w:tabs>
                <w:tab w:val="left" w:pos="480"/>
                <w:tab w:val="left" w:pos="540"/>
                <w:tab w:val="left" w:pos="885"/>
              </w:tabs>
              <w:ind w:firstLine="0"/>
              <w:jc w:val="center"/>
              <w:rPr>
                <w:b/>
              </w:rPr>
            </w:pPr>
            <w:r w:rsidRPr="00536A63">
              <w:rPr>
                <w:b/>
              </w:rPr>
              <w:t>Range of # months</w:t>
            </w:r>
          </w:p>
        </w:tc>
        <w:tc>
          <w:tcPr>
            <w:tcW w:w="1726" w:type="dxa"/>
          </w:tcPr>
          <w:p w14:paraId="72EF2650" w14:textId="5BB0C725" w:rsidR="00536A63" w:rsidRPr="00536A63" w:rsidRDefault="00536A63" w:rsidP="00536A63">
            <w:pPr>
              <w:tabs>
                <w:tab w:val="left" w:pos="480"/>
                <w:tab w:val="left" w:pos="540"/>
                <w:tab w:val="left" w:pos="885"/>
              </w:tabs>
              <w:ind w:firstLine="0"/>
              <w:jc w:val="center"/>
              <w:rPr>
                <w:b/>
              </w:rPr>
            </w:pPr>
            <w:r w:rsidRPr="00536A63">
              <w:rPr>
                <w:b/>
              </w:rPr>
              <w:t>Range of drop in rates</w:t>
            </w:r>
          </w:p>
        </w:tc>
      </w:tr>
      <w:tr w:rsidR="00536A63" w14:paraId="20B652E1" w14:textId="77777777" w:rsidTr="00EA1784">
        <w:tc>
          <w:tcPr>
            <w:tcW w:w="1726" w:type="dxa"/>
          </w:tcPr>
          <w:p w14:paraId="4E3E5073" w14:textId="5DA3BF95" w:rsidR="00536A63" w:rsidRDefault="00320675" w:rsidP="00E46471">
            <w:pPr>
              <w:tabs>
                <w:tab w:val="left" w:pos="480"/>
                <w:tab w:val="left" w:pos="540"/>
                <w:tab w:val="left" w:pos="885"/>
              </w:tabs>
              <w:ind w:firstLine="0"/>
              <w:rPr>
                <w:bCs/>
              </w:rPr>
            </w:pPr>
            <w:r>
              <w:rPr>
                <w:bCs/>
              </w:rPr>
              <w:t xml:space="preserve">  </w:t>
            </w:r>
            <w:r w:rsidR="00536A63">
              <w:rPr>
                <w:bCs/>
              </w:rPr>
              <w:t>2 yrs UST</w:t>
            </w:r>
          </w:p>
        </w:tc>
        <w:tc>
          <w:tcPr>
            <w:tcW w:w="1726" w:type="dxa"/>
          </w:tcPr>
          <w:p w14:paraId="47A13DD1" w14:textId="40AEA09A" w:rsidR="00536A63" w:rsidRDefault="00536A63" w:rsidP="00320675">
            <w:pPr>
              <w:tabs>
                <w:tab w:val="left" w:pos="480"/>
                <w:tab w:val="left" w:pos="540"/>
                <w:tab w:val="left" w:pos="885"/>
              </w:tabs>
              <w:ind w:firstLine="0"/>
              <w:jc w:val="center"/>
              <w:rPr>
                <w:bCs/>
              </w:rPr>
            </w:pPr>
            <w:r>
              <w:rPr>
                <w:bCs/>
              </w:rPr>
              <w:t>10 months</w:t>
            </w:r>
          </w:p>
        </w:tc>
        <w:tc>
          <w:tcPr>
            <w:tcW w:w="1726" w:type="dxa"/>
          </w:tcPr>
          <w:p w14:paraId="0FCD664D" w14:textId="1742B2B4" w:rsidR="00536A63" w:rsidRDefault="00536A63" w:rsidP="00320675">
            <w:pPr>
              <w:tabs>
                <w:tab w:val="left" w:pos="480"/>
                <w:tab w:val="left" w:pos="540"/>
                <w:tab w:val="left" w:pos="885"/>
              </w:tabs>
              <w:ind w:firstLine="0"/>
              <w:jc w:val="center"/>
              <w:rPr>
                <w:bCs/>
              </w:rPr>
            </w:pPr>
            <w:r>
              <w:rPr>
                <w:bCs/>
              </w:rPr>
              <w:t>1.5%</w:t>
            </w:r>
          </w:p>
        </w:tc>
        <w:tc>
          <w:tcPr>
            <w:tcW w:w="1726" w:type="dxa"/>
          </w:tcPr>
          <w:p w14:paraId="55DA569D" w14:textId="22AAF0E0" w:rsidR="00536A63" w:rsidRDefault="00320675" w:rsidP="00320675">
            <w:pPr>
              <w:tabs>
                <w:tab w:val="left" w:pos="480"/>
                <w:tab w:val="left" w:pos="540"/>
                <w:tab w:val="left" w:pos="885"/>
              </w:tabs>
              <w:ind w:firstLine="0"/>
              <w:jc w:val="center"/>
              <w:rPr>
                <w:bCs/>
              </w:rPr>
            </w:pPr>
            <w:r>
              <w:rPr>
                <w:bCs/>
              </w:rPr>
              <w:t>8-15 months</w:t>
            </w:r>
          </w:p>
        </w:tc>
        <w:tc>
          <w:tcPr>
            <w:tcW w:w="1726" w:type="dxa"/>
          </w:tcPr>
          <w:p w14:paraId="3439992E" w14:textId="67589293" w:rsidR="00536A63" w:rsidRDefault="00320675" w:rsidP="00320675">
            <w:pPr>
              <w:tabs>
                <w:tab w:val="left" w:pos="480"/>
                <w:tab w:val="left" w:pos="540"/>
                <w:tab w:val="left" w:pos="885"/>
              </w:tabs>
              <w:ind w:firstLine="0"/>
              <w:jc w:val="center"/>
              <w:rPr>
                <w:bCs/>
              </w:rPr>
            </w:pPr>
            <w:r>
              <w:rPr>
                <w:bCs/>
              </w:rPr>
              <w:t>1.0%-2.1%</w:t>
            </w:r>
          </w:p>
        </w:tc>
      </w:tr>
      <w:tr w:rsidR="00536A63" w14:paraId="7209FF9F" w14:textId="77777777" w:rsidTr="00EA1784">
        <w:tc>
          <w:tcPr>
            <w:tcW w:w="1726" w:type="dxa"/>
          </w:tcPr>
          <w:p w14:paraId="0D963B10" w14:textId="1D184ACA" w:rsidR="00536A63" w:rsidRDefault="00320675" w:rsidP="00E46471">
            <w:pPr>
              <w:tabs>
                <w:tab w:val="left" w:pos="480"/>
                <w:tab w:val="left" w:pos="540"/>
                <w:tab w:val="left" w:pos="885"/>
              </w:tabs>
              <w:ind w:firstLine="0"/>
              <w:rPr>
                <w:bCs/>
              </w:rPr>
            </w:pPr>
            <w:r>
              <w:rPr>
                <w:bCs/>
              </w:rPr>
              <w:t xml:space="preserve">  5 yrs UST</w:t>
            </w:r>
          </w:p>
        </w:tc>
        <w:tc>
          <w:tcPr>
            <w:tcW w:w="1726" w:type="dxa"/>
          </w:tcPr>
          <w:p w14:paraId="57648690" w14:textId="24837DBA" w:rsidR="00536A63" w:rsidRDefault="00320675" w:rsidP="00320675">
            <w:pPr>
              <w:tabs>
                <w:tab w:val="left" w:pos="480"/>
                <w:tab w:val="left" w:pos="540"/>
                <w:tab w:val="left" w:pos="885"/>
              </w:tabs>
              <w:ind w:firstLine="0"/>
              <w:jc w:val="center"/>
              <w:rPr>
                <w:bCs/>
              </w:rPr>
            </w:pPr>
            <w:r>
              <w:rPr>
                <w:bCs/>
              </w:rPr>
              <w:t>11 months</w:t>
            </w:r>
          </w:p>
        </w:tc>
        <w:tc>
          <w:tcPr>
            <w:tcW w:w="1726" w:type="dxa"/>
          </w:tcPr>
          <w:p w14:paraId="468B3387" w14:textId="6608F210" w:rsidR="00536A63" w:rsidRDefault="00320675" w:rsidP="00320675">
            <w:pPr>
              <w:tabs>
                <w:tab w:val="left" w:pos="480"/>
                <w:tab w:val="left" w:pos="540"/>
                <w:tab w:val="left" w:pos="885"/>
              </w:tabs>
              <w:ind w:firstLine="0"/>
              <w:jc w:val="center"/>
              <w:rPr>
                <w:bCs/>
              </w:rPr>
            </w:pPr>
            <w:r>
              <w:rPr>
                <w:bCs/>
              </w:rPr>
              <w:t>1.4%</w:t>
            </w:r>
          </w:p>
        </w:tc>
        <w:tc>
          <w:tcPr>
            <w:tcW w:w="1726" w:type="dxa"/>
          </w:tcPr>
          <w:p w14:paraId="6544AD7D" w14:textId="6CC90207" w:rsidR="00536A63" w:rsidRDefault="00320675" w:rsidP="00320675">
            <w:pPr>
              <w:tabs>
                <w:tab w:val="left" w:pos="480"/>
                <w:tab w:val="left" w:pos="540"/>
                <w:tab w:val="left" w:pos="885"/>
              </w:tabs>
              <w:ind w:firstLine="0"/>
              <w:jc w:val="center"/>
              <w:rPr>
                <w:bCs/>
              </w:rPr>
            </w:pPr>
            <w:r>
              <w:rPr>
                <w:bCs/>
              </w:rPr>
              <w:t>8-15 months</w:t>
            </w:r>
          </w:p>
        </w:tc>
        <w:tc>
          <w:tcPr>
            <w:tcW w:w="1726" w:type="dxa"/>
          </w:tcPr>
          <w:p w14:paraId="16C08062" w14:textId="3CCCD6DF" w:rsidR="00536A63" w:rsidRDefault="00320675" w:rsidP="00320675">
            <w:pPr>
              <w:tabs>
                <w:tab w:val="left" w:pos="480"/>
                <w:tab w:val="left" w:pos="540"/>
                <w:tab w:val="left" w:pos="885"/>
              </w:tabs>
              <w:ind w:firstLine="0"/>
              <w:jc w:val="center"/>
              <w:rPr>
                <w:bCs/>
              </w:rPr>
            </w:pPr>
            <w:r>
              <w:rPr>
                <w:bCs/>
              </w:rPr>
              <w:t>0.9%-1.9%</w:t>
            </w:r>
          </w:p>
        </w:tc>
      </w:tr>
      <w:tr w:rsidR="00536A63" w14:paraId="7531476A" w14:textId="77777777" w:rsidTr="00EA1784">
        <w:tc>
          <w:tcPr>
            <w:tcW w:w="1726" w:type="dxa"/>
          </w:tcPr>
          <w:p w14:paraId="04A076AB" w14:textId="51C3E520" w:rsidR="00536A63" w:rsidRDefault="00320675" w:rsidP="00E46471">
            <w:pPr>
              <w:tabs>
                <w:tab w:val="left" w:pos="480"/>
                <w:tab w:val="left" w:pos="540"/>
                <w:tab w:val="left" w:pos="885"/>
              </w:tabs>
              <w:ind w:firstLine="0"/>
              <w:rPr>
                <w:bCs/>
              </w:rPr>
            </w:pPr>
            <w:r>
              <w:rPr>
                <w:bCs/>
              </w:rPr>
              <w:t>10 yrs UST</w:t>
            </w:r>
          </w:p>
        </w:tc>
        <w:tc>
          <w:tcPr>
            <w:tcW w:w="1726" w:type="dxa"/>
          </w:tcPr>
          <w:p w14:paraId="1AF533FF" w14:textId="460AA257" w:rsidR="00536A63" w:rsidRDefault="00320675" w:rsidP="00320675">
            <w:pPr>
              <w:tabs>
                <w:tab w:val="left" w:pos="480"/>
                <w:tab w:val="left" w:pos="540"/>
                <w:tab w:val="left" w:pos="885"/>
              </w:tabs>
              <w:ind w:firstLine="0"/>
              <w:jc w:val="center"/>
              <w:rPr>
                <w:bCs/>
              </w:rPr>
            </w:pPr>
            <w:r>
              <w:rPr>
                <w:bCs/>
              </w:rPr>
              <w:t>10 months</w:t>
            </w:r>
          </w:p>
        </w:tc>
        <w:tc>
          <w:tcPr>
            <w:tcW w:w="1726" w:type="dxa"/>
          </w:tcPr>
          <w:p w14:paraId="4BD8881D" w14:textId="12ED4621" w:rsidR="00536A63" w:rsidRDefault="00320675" w:rsidP="00320675">
            <w:pPr>
              <w:tabs>
                <w:tab w:val="left" w:pos="480"/>
                <w:tab w:val="left" w:pos="540"/>
                <w:tab w:val="left" w:pos="885"/>
              </w:tabs>
              <w:ind w:firstLine="0"/>
              <w:jc w:val="center"/>
              <w:rPr>
                <w:bCs/>
              </w:rPr>
            </w:pPr>
            <w:r>
              <w:rPr>
                <w:bCs/>
              </w:rPr>
              <w:t>1.2%</w:t>
            </w:r>
          </w:p>
        </w:tc>
        <w:tc>
          <w:tcPr>
            <w:tcW w:w="1726" w:type="dxa"/>
          </w:tcPr>
          <w:p w14:paraId="4CEAAF81" w14:textId="5E17D6B1" w:rsidR="00536A63" w:rsidRDefault="00320675" w:rsidP="00320675">
            <w:pPr>
              <w:tabs>
                <w:tab w:val="left" w:pos="480"/>
                <w:tab w:val="left" w:pos="540"/>
                <w:tab w:val="left" w:pos="885"/>
              </w:tabs>
              <w:ind w:firstLine="0"/>
              <w:jc w:val="center"/>
              <w:rPr>
                <w:bCs/>
              </w:rPr>
            </w:pPr>
            <w:r>
              <w:rPr>
                <w:bCs/>
              </w:rPr>
              <w:t>6-15 months</w:t>
            </w:r>
          </w:p>
        </w:tc>
        <w:tc>
          <w:tcPr>
            <w:tcW w:w="1726" w:type="dxa"/>
          </w:tcPr>
          <w:p w14:paraId="625BC213" w14:textId="42366767" w:rsidR="00536A63" w:rsidRDefault="00320675" w:rsidP="00320675">
            <w:pPr>
              <w:tabs>
                <w:tab w:val="left" w:pos="480"/>
                <w:tab w:val="left" w:pos="540"/>
                <w:tab w:val="left" w:pos="885"/>
              </w:tabs>
              <w:ind w:firstLine="0"/>
              <w:jc w:val="center"/>
              <w:rPr>
                <w:bCs/>
              </w:rPr>
            </w:pPr>
            <w:r>
              <w:rPr>
                <w:bCs/>
              </w:rPr>
              <w:t>0.6%-1.6%</w:t>
            </w:r>
          </w:p>
        </w:tc>
      </w:tr>
      <w:tr w:rsidR="00536A63" w14:paraId="7219FCCD" w14:textId="77777777" w:rsidTr="00EA1784">
        <w:tc>
          <w:tcPr>
            <w:tcW w:w="1726" w:type="dxa"/>
          </w:tcPr>
          <w:p w14:paraId="7E8D98A7" w14:textId="12225B68" w:rsidR="00536A63" w:rsidRDefault="00320675" w:rsidP="00E46471">
            <w:pPr>
              <w:tabs>
                <w:tab w:val="left" w:pos="480"/>
                <w:tab w:val="left" w:pos="540"/>
                <w:tab w:val="left" w:pos="885"/>
              </w:tabs>
              <w:ind w:firstLine="0"/>
              <w:rPr>
                <w:bCs/>
              </w:rPr>
            </w:pPr>
            <w:r>
              <w:rPr>
                <w:bCs/>
              </w:rPr>
              <w:t xml:space="preserve">30 yrs UST </w:t>
            </w:r>
          </w:p>
        </w:tc>
        <w:tc>
          <w:tcPr>
            <w:tcW w:w="1726" w:type="dxa"/>
          </w:tcPr>
          <w:p w14:paraId="19263548" w14:textId="294B717B" w:rsidR="00536A63" w:rsidRDefault="00320675" w:rsidP="00320675">
            <w:pPr>
              <w:tabs>
                <w:tab w:val="left" w:pos="480"/>
                <w:tab w:val="left" w:pos="540"/>
                <w:tab w:val="left" w:pos="885"/>
              </w:tabs>
              <w:ind w:firstLine="0"/>
              <w:jc w:val="center"/>
              <w:rPr>
                <w:bCs/>
              </w:rPr>
            </w:pPr>
            <w:r>
              <w:rPr>
                <w:bCs/>
              </w:rPr>
              <w:t>11 months</w:t>
            </w:r>
          </w:p>
        </w:tc>
        <w:tc>
          <w:tcPr>
            <w:tcW w:w="1726" w:type="dxa"/>
          </w:tcPr>
          <w:p w14:paraId="69D6D34F" w14:textId="03008C38" w:rsidR="00536A63" w:rsidRDefault="00320675" w:rsidP="00320675">
            <w:pPr>
              <w:tabs>
                <w:tab w:val="left" w:pos="480"/>
                <w:tab w:val="left" w:pos="540"/>
                <w:tab w:val="left" w:pos="885"/>
              </w:tabs>
              <w:ind w:firstLine="0"/>
              <w:jc w:val="center"/>
              <w:rPr>
                <w:bCs/>
              </w:rPr>
            </w:pPr>
            <w:r>
              <w:rPr>
                <w:bCs/>
              </w:rPr>
              <w:t>0.9%</w:t>
            </w:r>
          </w:p>
        </w:tc>
        <w:tc>
          <w:tcPr>
            <w:tcW w:w="1726" w:type="dxa"/>
          </w:tcPr>
          <w:p w14:paraId="71757AD4" w14:textId="4FFCC1B5" w:rsidR="00536A63" w:rsidRDefault="00320675" w:rsidP="00320675">
            <w:pPr>
              <w:tabs>
                <w:tab w:val="left" w:pos="480"/>
                <w:tab w:val="left" w:pos="540"/>
                <w:tab w:val="left" w:pos="885"/>
              </w:tabs>
              <w:ind w:firstLine="0"/>
              <w:jc w:val="center"/>
              <w:rPr>
                <w:bCs/>
              </w:rPr>
            </w:pPr>
            <w:r>
              <w:rPr>
                <w:bCs/>
              </w:rPr>
              <w:t>8-16 months</w:t>
            </w:r>
          </w:p>
        </w:tc>
        <w:tc>
          <w:tcPr>
            <w:tcW w:w="1726" w:type="dxa"/>
          </w:tcPr>
          <w:p w14:paraId="42F5FDE4" w14:textId="6B54A504" w:rsidR="00536A63" w:rsidRDefault="00320675" w:rsidP="00320675">
            <w:pPr>
              <w:tabs>
                <w:tab w:val="left" w:pos="480"/>
                <w:tab w:val="left" w:pos="540"/>
                <w:tab w:val="left" w:pos="885"/>
              </w:tabs>
              <w:ind w:firstLine="0"/>
              <w:jc w:val="center"/>
              <w:rPr>
                <w:bCs/>
              </w:rPr>
            </w:pPr>
            <w:r>
              <w:rPr>
                <w:bCs/>
              </w:rPr>
              <w:t>0.4%-1.2%</w:t>
            </w:r>
          </w:p>
        </w:tc>
      </w:tr>
    </w:tbl>
    <w:p w14:paraId="72BD85F9" w14:textId="77777777" w:rsidR="00982D00" w:rsidRDefault="00982D00" w:rsidP="00E46471">
      <w:pPr>
        <w:tabs>
          <w:tab w:val="left" w:pos="480"/>
          <w:tab w:val="left" w:pos="540"/>
          <w:tab w:val="left" w:pos="885"/>
        </w:tabs>
        <w:ind w:firstLine="0"/>
        <w:rPr>
          <w:bCs/>
        </w:rPr>
      </w:pPr>
    </w:p>
    <w:p w14:paraId="2F62F821" w14:textId="03E123B7" w:rsidR="00982D00" w:rsidRPr="00320675" w:rsidRDefault="00320675" w:rsidP="00E46471">
      <w:pPr>
        <w:tabs>
          <w:tab w:val="left" w:pos="480"/>
          <w:tab w:val="left" w:pos="540"/>
          <w:tab w:val="left" w:pos="885"/>
        </w:tabs>
        <w:ind w:firstLine="0"/>
        <w:rPr>
          <w:b/>
        </w:rPr>
      </w:pPr>
      <w:r w:rsidRPr="00320675">
        <w:rPr>
          <w:b/>
        </w:rPr>
        <w:t>UST rates won’t wait for the Fed to cut before they fall</w:t>
      </w:r>
    </w:p>
    <w:p w14:paraId="5F507331" w14:textId="77777777" w:rsidR="00982D00" w:rsidRDefault="00982D00" w:rsidP="00E46471">
      <w:pPr>
        <w:tabs>
          <w:tab w:val="left" w:pos="480"/>
          <w:tab w:val="left" w:pos="540"/>
          <w:tab w:val="left" w:pos="885"/>
        </w:tabs>
        <w:ind w:firstLine="0"/>
        <w:rPr>
          <w:bCs/>
        </w:rPr>
      </w:pPr>
    </w:p>
    <w:p w14:paraId="79A18AF0" w14:textId="0D36682A" w:rsidR="00982D00" w:rsidRPr="00320675" w:rsidRDefault="00320675" w:rsidP="00E46471">
      <w:pPr>
        <w:tabs>
          <w:tab w:val="left" w:pos="480"/>
          <w:tab w:val="left" w:pos="540"/>
          <w:tab w:val="left" w:pos="885"/>
        </w:tabs>
        <w:ind w:firstLine="0"/>
        <w:rPr>
          <w:b/>
          <w:sz w:val="16"/>
          <w:szCs w:val="16"/>
        </w:rPr>
      </w:pPr>
      <w:r w:rsidRPr="00320675">
        <w:rPr>
          <w:b/>
          <w:sz w:val="16"/>
          <w:szCs w:val="16"/>
        </w:rPr>
        <w:t xml:space="preserve">Source:  Bloomberg as of 1/31/23. BLOOMBERG* is a trademark and service mark of Bloomberg Finance L.P. and its affiliates (collectively “Bloomberg”). Blomberg or Bloomberg’s licensors own all proprietary rights in the Bloomberg indices. Bloomberg neither approves or endorses this material or guarantees the accuracy or completeness of any information herein, or makes any warranty, express or implied, as to the results to be obtained therefrom and, to the maximum extent allowed by law, neither shall have any liability or responsibility for injury or damages arising in connection therewith. </w:t>
      </w:r>
    </w:p>
    <w:p w14:paraId="7960C1D5" w14:textId="77777777" w:rsidR="00982D00" w:rsidRDefault="00982D00" w:rsidP="00E46471">
      <w:pPr>
        <w:tabs>
          <w:tab w:val="left" w:pos="480"/>
          <w:tab w:val="left" w:pos="540"/>
          <w:tab w:val="left" w:pos="885"/>
        </w:tabs>
        <w:ind w:firstLine="0"/>
        <w:rPr>
          <w:bCs/>
        </w:rPr>
      </w:pPr>
    </w:p>
    <w:p w14:paraId="280CE1AD" w14:textId="5C317A7B" w:rsidR="00D85A41" w:rsidRDefault="005D53C4" w:rsidP="00E46471">
      <w:pPr>
        <w:tabs>
          <w:tab w:val="left" w:pos="480"/>
          <w:tab w:val="left" w:pos="540"/>
          <w:tab w:val="left" w:pos="885"/>
        </w:tabs>
        <w:ind w:firstLine="0"/>
        <w:rPr>
          <w:bCs/>
        </w:rPr>
      </w:pPr>
      <w:r>
        <w:rPr>
          <w:bCs/>
        </w:rPr>
        <w:tab/>
      </w:r>
      <w:r w:rsidR="000A41DA">
        <w:rPr>
          <w:bCs/>
        </w:rPr>
        <w:t>Based upon these numbers, waiting may not be the best strategy.</w:t>
      </w:r>
    </w:p>
    <w:p w14:paraId="0E8E0503" w14:textId="77777777" w:rsidR="005D53C4" w:rsidRDefault="005D53C4" w:rsidP="00E46471">
      <w:pPr>
        <w:tabs>
          <w:tab w:val="left" w:pos="480"/>
          <w:tab w:val="left" w:pos="540"/>
          <w:tab w:val="left" w:pos="885"/>
        </w:tabs>
        <w:ind w:firstLine="0"/>
        <w:rPr>
          <w:bCs/>
        </w:rPr>
      </w:pPr>
    </w:p>
    <w:p w14:paraId="56650283" w14:textId="77777777" w:rsidR="000A41DA" w:rsidRDefault="000A41DA" w:rsidP="00E46471">
      <w:pPr>
        <w:tabs>
          <w:tab w:val="left" w:pos="480"/>
          <w:tab w:val="left" w:pos="540"/>
          <w:tab w:val="left" w:pos="885"/>
        </w:tabs>
        <w:ind w:firstLine="0"/>
        <w:rPr>
          <w:bCs/>
        </w:rPr>
      </w:pPr>
    </w:p>
    <w:p w14:paraId="321C1EC9" w14:textId="7B36937F" w:rsidR="000A41DA" w:rsidRPr="00BA0512" w:rsidRDefault="000A41DA" w:rsidP="00EA1784">
      <w:pPr>
        <w:tabs>
          <w:tab w:val="left" w:pos="480"/>
          <w:tab w:val="left" w:pos="540"/>
          <w:tab w:val="left" w:pos="885"/>
        </w:tabs>
        <w:ind w:firstLine="0"/>
        <w:jc w:val="center"/>
        <w:rPr>
          <w:b/>
        </w:rPr>
      </w:pPr>
      <w:r w:rsidRPr="00BA0512">
        <w:rPr>
          <w:b/>
        </w:rPr>
        <w:t>III. The debt ceiling debate and the untold story</w:t>
      </w:r>
    </w:p>
    <w:p w14:paraId="07FB40BE" w14:textId="77777777" w:rsidR="00D85A41" w:rsidRDefault="00D85A41" w:rsidP="00EA1784">
      <w:pPr>
        <w:tabs>
          <w:tab w:val="left" w:pos="480"/>
          <w:tab w:val="left" w:pos="540"/>
          <w:tab w:val="left" w:pos="885"/>
        </w:tabs>
        <w:ind w:firstLine="0"/>
        <w:jc w:val="center"/>
        <w:rPr>
          <w:bCs/>
        </w:rPr>
      </w:pPr>
    </w:p>
    <w:p w14:paraId="15E3560A" w14:textId="3CD17B07" w:rsidR="00D85A41" w:rsidRDefault="00BA0512" w:rsidP="00E46471">
      <w:pPr>
        <w:tabs>
          <w:tab w:val="left" w:pos="480"/>
          <w:tab w:val="left" w:pos="540"/>
          <w:tab w:val="left" w:pos="885"/>
        </w:tabs>
        <w:ind w:firstLine="0"/>
        <w:rPr>
          <w:bCs/>
        </w:rPr>
      </w:pPr>
      <w:r>
        <w:rPr>
          <w:bCs/>
        </w:rPr>
        <w:tab/>
        <w:t>For all I know, by the time you read this commentary, the debt ceiling negotiations between President Biden and Speaker McCart</w:t>
      </w:r>
      <w:r w:rsidR="00AA5DDD">
        <w:rPr>
          <w:bCs/>
        </w:rPr>
        <w:t>h</w:t>
      </w:r>
      <w:r>
        <w:rPr>
          <w:bCs/>
        </w:rPr>
        <w:t xml:space="preserve">y may be over. </w:t>
      </w:r>
    </w:p>
    <w:p w14:paraId="329C1DBE" w14:textId="7CE90F84" w:rsidR="00BA0512" w:rsidRDefault="00BA0512" w:rsidP="00E46471">
      <w:pPr>
        <w:tabs>
          <w:tab w:val="left" w:pos="480"/>
          <w:tab w:val="left" w:pos="540"/>
          <w:tab w:val="left" w:pos="885"/>
        </w:tabs>
        <w:ind w:firstLine="0"/>
        <w:rPr>
          <w:bCs/>
        </w:rPr>
      </w:pPr>
      <w:r>
        <w:rPr>
          <w:bCs/>
        </w:rPr>
        <w:tab/>
        <w:t>Or maybe not.</w:t>
      </w:r>
    </w:p>
    <w:p w14:paraId="277C0220" w14:textId="01B582E7" w:rsidR="00BA0512" w:rsidRDefault="00BA0512" w:rsidP="00E46471">
      <w:pPr>
        <w:tabs>
          <w:tab w:val="left" w:pos="480"/>
          <w:tab w:val="left" w:pos="540"/>
          <w:tab w:val="left" w:pos="885"/>
        </w:tabs>
        <w:ind w:firstLine="0"/>
        <w:rPr>
          <w:bCs/>
        </w:rPr>
      </w:pPr>
      <w:r>
        <w:rPr>
          <w:bCs/>
        </w:rPr>
        <w:tab/>
        <w:t>I am very frustrated with the media coverage of this whole drama.</w:t>
      </w:r>
    </w:p>
    <w:p w14:paraId="44C69A7A" w14:textId="77777777" w:rsidR="00BA0512" w:rsidRDefault="00BA0512" w:rsidP="00E46471">
      <w:pPr>
        <w:tabs>
          <w:tab w:val="left" w:pos="480"/>
          <w:tab w:val="left" w:pos="540"/>
          <w:tab w:val="left" w:pos="885"/>
        </w:tabs>
        <w:ind w:firstLine="0"/>
        <w:rPr>
          <w:bCs/>
        </w:rPr>
      </w:pPr>
      <w:r>
        <w:rPr>
          <w:bCs/>
        </w:rPr>
        <w:lastRenderedPageBreak/>
        <w:tab/>
        <w:t>I have read/watched many articles on the truly horrible consequences of what is often called default. As I understand it, federal tax revenues far exceed the amount to service federal debt. By definition this means no default.</w:t>
      </w:r>
    </w:p>
    <w:p w14:paraId="5798D5D2" w14:textId="4E3B3962" w:rsidR="00BA0512" w:rsidRDefault="00BA0512" w:rsidP="00E46471">
      <w:pPr>
        <w:tabs>
          <w:tab w:val="left" w:pos="480"/>
          <w:tab w:val="left" w:pos="540"/>
          <w:tab w:val="left" w:pos="885"/>
        </w:tabs>
        <w:ind w:firstLine="0"/>
        <w:rPr>
          <w:bCs/>
        </w:rPr>
      </w:pPr>
      <w:r>
        <w:rPr>
          <w:bCs/>
        </w:rPr>
        <w:t xml:space="preserve"> </w:t>
      </w:r>
      <w:r>
        <w:rPr>
          <w:bCs/>
        </w:rPr>
        <w:tab/>
        <w:t>However, here is what really gets me.</w:t>
      </w:r>
    </w:p>
    <w:p w14:paraId="39DAD1BA" w14:textId="79483E4D" w:rsidR="00BA0512" w:rsidRDefault="00BA0512" w:rsidP="00E46471">
      <w:pPr>
        <w:tabs>
          <w:tab w:val="left" w:pos="480"/>
          <w:tab w:val="left" w:pos="540"/>
          <w:tab w:val="left" w:pos="885"/>
        </w:tabs>
        <w:ind w:firstLine="0"/>
        <w:rPr>
          <w:bCs/>
        </w:rPr>
      </w:pPr>
      <w:r>
        <w:rPr>
          <w:bCs/>
        </w:rPr>
        <w:tab/>
        <w:t>Please go back and take a look at the return numbers on the first page.</w:t>
      </w:r>
    </w:p>
    <w:p w14:paraId="242CEACF" w14:textId="77777777" w:rsidR="00BA0512" w:rsidRDefault="00BA0512" w:rsidP="00E46471">
      <w:pPr>
        <w:tabs>
          <w:tab w:val="left" w:pos="480"/>
          <w:tab w:val="left" w:pos="540"/>
          <w:tab w:val="left" w:pos="885"/>
        </w:tabs>
        <w:ind w:firstLine="0"/>
        <w:rPr>
          <w:bCs/>
        </w:rPr>
      </w:pPr>
      <w:r>
        <w:rPr>
          <w:bCs/>
        </w:rPr>
        <w:tab/>
        <w:t>Financial markets represent the sum total opinions of global investors. Do the positive year to date numbers represent Armageddon?</w:t>
      </w:r>
    </w:p>
    <w:p w14:paraId="4CEA2F30" w14:textId="77777777" w:rsidR="00BA0512" w:rsidRDefault="00BA0512" w:rsidP="00E46471">
      <w:pPr>
        <w:tabs>
          <w:tab w:val="left" w:pos="480"/>
          <w:tab w:val="left" w:pos="540"/>
          <w:tab w:val="left" w:pos="885"/>
        </w:tabs>
        <w:ind w:firstLine="0"/>
        <w:rPr>
          <w:bCs/>
        </w:rPr>
      </w:pPr>
      <w:r>
        <w:rPr>
          <w:bCs/>
        </w:rPr>
        <w:tab/>
        <w:t>They do not.</w:t>
      </w:r>
    </w:p>
    <w:p w14:paraId="698AF992" w14:textId="67D4305E" w:rsidR="00BA0512" w:rsidRDefault="00BA0512" w:rsidP="00E46471">
      <w:pPr>
        <w:tabs>
          <w:tab w:val="left" w:pos="480"/>
          <w:tab w:val="left" w:pos="540"/>
          <w:tab w:val="left" w:pos="885"/>
        </w:tabs>
        <w:ind w:firstLine="0"/>
        <w:rPr>
          <w:bCs/>
        </w:rPr>
      </w:pPr>
      <w:r>
        <w:rPr>
          <w:bCs/>
        </w:rPr>
        <w:tab/>
        <w:t xml:space="preserve">Could stock and bond prices fall if no agreement is reached? Of course they could. But as I write this letter, the lack of volatility and lower prices should at least lead us to ask why, if the outlook is so dire, are the markets so sanguine?  </w:t>
      </w:r>
    </w:p>
    <w:p w14:paraId="13B4AF2A" w14:textId="4516444E" w:rsidR="0028352C" w:rsidRDefault="0028352C" w:rsidP="00E46471">
      <w:pPr>
        <w:tabs>
          <w:tab w:val="left" w:pos="480"/>
          <w:tab w:val="left" w:pos="540"/>
          <w:tab w:val="left" w:pos="885"/>
        </w:tabs>
        <w:ind w:firstLine="0"/>
        <w:rPr>
          <w:bCs/>
        </w:rPr>
      </w:pPr>
      <w:r>
        <w:rPr>
          <w:bCs/>
        </w:rPr>
        <w:tab/>
        <w:t>We would all be better off if this question and possible answers discussed by thoughtful experienced experts were part of our public conversation.</w:t>
      </w:r>
    </w:p>
    <w:p w14:paraId="1725F416" w14:textId="30604F21" w:rsidR="00DA4494" w:rsidRDefault="0028352C" w:rsidP="00E46471">
      <w:pPr>
        <w:tabs>
          <w:tab w:val="left" w:pos="480"/>
          <w:tab w:val="left" w:pos="540"/>
          <w:tab w:val="left" w:pos="885"/>
        </w:tabs>
        <w:ind w:firstLine="0"/>
        <w:rPr>
          <w:bCs/>
        </w:rPr>
      </w:pPr>
      <w:r>
        <w:rPr>
          <w:bCs/>
        </w:rPr>
        <w:tab/>
        <w:t xml:space="preserve">Oh well. </w:t>
      </w:r>
    </w:p>
    <w:p w14:paraId="397AC2AD" w14:textId="77777777" w:rsidR="00DB460D" w:rsidRPr="00DB460D" w:rsidRDefault="00DB460D" w:rsidP="00DB460D">
      <w:pPr>
        <w:tabs>
          <w:tab w:val="left" w:pos="480"/>
          <w:tab w:val="left" w:pos="540"/>
          <w:tab w:val="left" w:pos="885"/>
        </w:tabs>
        <w:ind w:firstLine="0"/>
        <w:rPr>
          <w:bCs/>
        </w:rPr>
      </w:pPr>
      <w:r w:rsidRPr="00DB460D">
        <w:rPr>
          <w:bCs/>
        </w:rPr>
        <w:t xml:space="preserve">Thank you for taking the time to read the newsletter and for listening to Money Talk.   </w:t>
      </w:r>
    </w:p>
    <w:p w14:paraId="0E2DAD06" w14:textId="77777777" w:rsidR="00DA4494" w:rsidRDefault="00DA4494" w:rsidP="00E46471">
      <w:pPr>
        <w:tabs>
          <w:tab w:val="left" w:pos="480"/>
          <w:tab w:val="left" w:pos="540"/>
          <w:tab w:val="left" w:pos="885"/>
        </w:tabs>
        <w:ind w:firstLine="0"/>
        <w:rPr>
          <w:bCs/>
        </w:rPr>
      </w:pPr>
    </w:p>
    <w:p w14:paraId="42CA9BE1" w14:textId="77777777" w:rsidR="00D3518D" w:rsidRDefault="00D3518D" w:rsidP="00D3518D">
      <w:pPr>
        <w:ind w:firstLine="0"/>
        <w:rPr>
          <w:rFonts w:eastAsia="Calibri"/>
          <w:lang w:bidi="ar-SA"/>
        </w:rPr>
      </w:pPr>
    </w:p>
    <w:p w14:paraId="3903D332" w14:textId="7C2D2DE0" w:rsidR="00C22391" w:rsidRDefault="00D3518D" w:rsidP="00E93EF5">
      <w:pPr>
        <w:tabs>
          <w:tab w:val="left" w:pos="1023"/>
        </w:tabs>
        <w:ind w:firstLine="0"/>
      </w:pPr>
      <w:r>
        <w:t>Warm regards,</w:t>
      </w:r>
    </w:p>
    <w:p w14:paraId="6CA2F9B1" w14:textId="77777777" w:rsidR="004B4F3B" w:rsidRDefault="004B4F3B" w:rsidP="004B4F3B">
      <w:pPr>
        <w:ind w:firstLine="0"/>
      </w:pPr>
      <w:r w:rsidRPr="007D3DE1">
        <w:rPr>
          <w:noProof/>
          <w:lang w:bidi="ar-SA"/>
        </w:rPr>
        <w:drawing>
          <wp:inline distT="0" distB="0" distL="0" distR="0" wp14:anchorId="4B8F8202" wp14:editId="5B7B5ADF">
            <wp:extent cx="1114425" cy="504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14425" cy="504825"/>
                    </a:xfrm>
                    <a:prstGeom prst="rect">
                      <a:avLst/>
                    </a:prstGeom>
                    <a:noFill/>
                    <a:ln w="9525">
                      <a:noFill/>
                      <a:miter lim="800000"/>
                      <a:headEnd/>
                      <a:tailEnd/>
                    </a:ln>
                  </pic:spPr>
                </pic:pic>
              </a:graphicData>
            </a:graphic>
          </wp:inline>
        </w:drawing>
      </w:r>
    </w:p>
    <w:p w14:paraId="38B1F210" w14:textId="77777777" w:rsidR="004B4F3B" w:rsidRDefault="004B4F3B" w:rsidP="004B4F3B">
      <w:pPr>
        <w:ind w:firstLine="0"/>
      </w:pPr>
      <w:r>
        <w:t>Carl W. Stuart</w:t>
      </w:r>
    </w:p>
    <w:p w14:paraId="1DA02216" w14:textId="77777777" w:rsidR="004B4F3B" w:rsidRDefault="004B4F3B" w:rsidP="004B4F3B">
      <w:pPr>
        <w:ind w:firstLine="0"/>
      </w:pPr>
      <w:r>
        <w:t>Financial Advisor</w:t>
      </w:r>
    </w:p>
    <w:p w14:paraId="23486A67" w14:textId="77777777" w:rsidR="004B4F3B" w:rsidRDefault="004B4F3B" w:rsidP="004B4F3B">
      <w:pPr>
        <w:ind w:firstLine="0"/>
      </w:pPr>
    </w:p>
    <w:p w14:paraId="2C26C50A" w14:textId="77777777" w:rsidR="004B4F3B" w:rsidRDefault="004B4F3B" w:rsidP="004B4F3B">
      <w:pPr>
        <w:pStyle w:val="ListParagraph"/>
        <w:numPr>
          <w:ilvl w:val="0"/>
          <w:numId w:val="1"/>
        </w:numPr>
        <w:ind w:left="0"/>
        <w:rPr>
          <w:b/>
          <w:sz w:val="22"/>
        </w:rPr>
      </w:pPr>
      <w:r w:rsidRPr="001F175C">
        <w:rPr>
          <w:b/>
          <w:sz w:val="22"/>
        </w:rPr>
        <w:t>Past performance is not indicative of future results.</w:t>
      </w:r>
    </w:p>
    <w:p w14:paraId="6661DF61" w14:textId="77777777" w:rsidR="004B4F3B" w:rsidRPr="001B273C" w:rsidRDefault="004B4F3B" w:rsidP="004B4F3B">
      <w:pPr>
        <w:pStyle w:val="ListParagraph"/>
        <w:numPr>
          <w:ilvl w:val="0"/>
          <w:numId w:val="1"/>
        </w:numPr>
        <w:ind w:left="0"/>
        <w:rPr>
          <w:b/>
          <w:sz w:val="16"/>
          <w:szCs w:val="16"/>
        </w:rPr>
      </w:pPr>
      <w:r w:rsidRPr="001B273C">
        <w:rPr>
          <w:sz w:val="16"/>
          <w:szCs w:val="16"/>
        </w:rPr>
        <w:t xml:space="preserve">The Dow Jones Industrials is an index of 30 stocks that is considered representative of the overall market. </w:t>
      </w:r>
    </w:p>
    <w:p w14:paraId="53C388C5" w14:textId="77777777" w:rsidR="004B4F3B" w:rsidRPr="001F175C" w:rsidRDefault="004B4F3B" w:rsidP="004B4F3B">
      <w:pPr>
        <w:numPr>
          <w:ilvl w:val="0"/>
          <w:numId w:val="2"/>
        </w:numPr>
        <w:ind w:left="0"/>
        <w:rPr>
          <w:sz w:val="16"/>
          <w:szCs w:val="16"/>
        </w:rPr>
      </w:pPr>
      <w:r w:rsidRPr="001F175C">
        <w:rPr>
          <w:sz w:val="16"/>
          <w:szCs w:val="16"/>
        </w:rPr>
        <w:t xml:space="preserve">The S&amp;P 500 is an unmanaged index of 500 widely held stocks that’s generally considered representative </w:t>
      </w:r>
    </w:p>
    <w:p w14:paraId="0F62C310" w14:textId="77777777" w:rsidR="004B4F3B" w:rsidRPr="001F175C" w:rsidRDefault="004B4F3B" w:rsidP="004B4F3B">
      <w:pPr>
        <w:ind w:firstLine="0"/>
        <w:rPr>
          <w:sz w:val="16"/>
          <w:szCs w:val="16"/>
        </w:rPr>
      </w:pPr>
      <w:r w:rsidRPr="001F175C">
        <w:rPr>
          <w:sz w:val="16"/>
          <w:szCs w:val="16"/>
        </w:rPr>
        <w:t>of the U.S. stock market.</w:t>
      </w:r>
    </w:p>
    <w:p w14:paraId="5AE1F9F4" w14:textId="77777777" w:rsidR="004B4F3B" w:rsidRDefault="004B4F3B" w:rsidP="004B4F3B">
      <w:pPr>
        <w:numPr>
          <w:ilvl w:val="0"/>
          <w:numId w:val="2"/>
        </w:numPr>
        <w:ind w:left="0"/>
        <w:rPr>
          <w:sz w:val="16"/>
          <w:szCs w:val="16"/>
        </w:rPr>
      </w:pPr>
      <w:r w:rsidRPr="001F175C">
        <w:rPr>
          <w:sz w:val="16"/>
          <w:szCs w:val="16"/>
        </w:rPr>
        <w:t>The NASDAQ composite is an unmanaged index of securities traded on the NASDAQ system.</w:t>
      </w:r>
    </w:p>
    <w:p w14:paraId="2A3EE7E0" w14:textId="77777777" w:rsidR="004B4F3B" w:rsidRPr="00B11BFA" w:rsidRDefault="004B4F3B" w:rsidP="004B4F3B">
      <w:pPr>
        <w:numPr>
          <w:ilvl w:val="0"/>
          <w:numId w:val="2"/>
        </w:numPr>
        <w:ind w:left="0"/>
        <w:rPr>
          <w:sz w:val="16"/>
          <w:szCs w:val="16"/>
        </w:rPr>
      </w:pPr>
      <w:r w:rsidRPr="00B11BFA">
        <w:rPr>
          <w:sz w:val="16"/>
          <w:szCs w:val="16"/>
        </w:rPr>
        <w:t xml:space="preserve">The Russell 1000 Growth Index measures the performance of those Russell 1000 companies with higher price-to-book ratios and higher forecasted growth values. </w:t>
      </w:r>
    </w:p>
    <w:p w14:paraId="4A5234DF" w14:textId="77777777" w:rsidR="004B4F3B" w:rsidRPr="00B11BFA" w:rsidRDefault="004B4F3B" w:rsidP="004B4F3B">
      <w:pPr>
        <w:numPr>
          <w:ilvl w:val="0"/>
          <w:numId w:val="2"/>
        </w:numPr>
        <w:ind w:left="0"/>
        <w:rPr>
          <w:sz w:val="16"/>
          <w:szCs w:val="16"/>
        </w:rPr>
      </w:pPr>
      <w:r w:rsidRPr="00B11BFA">
        <w:rPr>
          <w:sz w:val="16"/>
          <w:szCs w:val="16"/>
        </w:rPr>
        <w:t>The Russell 1000 Value Index measures the performance of those Russell 1000 companies with lower price-to-book ratios and lower forecasted growth values.</w:t>
      </w:r>
    </w:p>
    <w:p w14:paraId="4EC32734" w14:textId="77777777" w:rsidR="004B4F3B" w:rsidRDefault="004B4F3B" w:rsidP="004B4F3B">
      <w:pPr>
        <w:numPr>
          <w:ilvl w:val="0"/>
          <w:numId w:val="2"/>
        </w:numPr>
        <w:ind w:left="0"/>
        <w:rPr>
          <w:sz w:val="16"/>
          <w:szCs w:val="16"/>
        </w:rPr>
      </w:pPr>
      <w:r w:rsidRPr="001F175C">
        <w:rPr>
          <w:sz w:val="16"/>
          <w:szCs w:val="16"/>
        </w:rPr>
        <w:t xml:space="preserve">The Russell 2000 </w:t>
      </w:r>
      <w:r>
        <w:rPr>
          <w:sz w:val="16"/>
          <w:szCs w:val="16"/>
        </w:rPr>
        <w:t>I</w:t>
      </w:r>
      <w:r w:rsidRPr="001F175C">
        <w:rPr>
          <w:sz w:val="16"/>
          <w:szCs w:val="16"/>
        </w:rPr>
        <w:t>ndex is an unmanaged index of small cap securities which generally involve greater risks.</w:t>
      </w:r>
    </w:p>
    <w:p w14:paraId="2FC3C7B7" w14:textId="77777777" w:rsidR="004B4F3B" w:rsidRDefault="004B4F3B" w:rsidP="004B4F3B">
      <w:pPr>
        <w:numPr>
          <w:ilvl w:val="0"/>
          <w:numId w:val="2"/>
        </w:numPr>
        <w:ind w:left="0"/>
        <w:rPr>
          <w:sz w:val="16"/>
          <w:szCs w:val="16"/>
        </w:rPr>
      </w:pPr>
      <w:r>
        <w:rPr>
          <w:sz w:val="16"/>
          <w:szCs w:val="16"/>
        </w:rPr>
        <w:t>The Russell 2000 Growth Index m</w:t>
      </w:r>
      <w:r w:rsidRPr="002F57E8">
        <w:rPr>
          <w:sz w:val="16"/>
          <w:szCs w:val="16"/>
        </w:rPr>
        <w:t>easures the performance of the small-cap growth segment of the U.S. equities.</w:t>
      </w:r>
    </w:p>
    <w:p w14:paraId="04D17872" w14:textId="77777777" w:rsidR="004B4F3B" w:rsidRPr="00F16E6D" w:rsidRDefault="004B4F3B" w:rsidP="004B4F3B">
      <w:pPr>
        <w:numPr>
          <w:ilvl w:val="0"/>
          <w:numId w:val="2"/>
        </w:numPr>
        <w:ind w:left="0"/>
        <w:rPr>
          <w:sz w:val="16"/>
          <w:szCs w:val="16"/>
        </w:rPr>
      </w:pPr>
      <w:r>
        <w:rPr>
          <w:sz w:val="16"/>
          <w:szCs w:val="16"/>
        </w:rPr>
        <w:t>The Russell 2000 Value Index m</w:t>
      </w:r>
      <w:r w:rsidRPr="00F16E6D">
        <w:rPr>
          <w:sz w:val="16"/>
          <w:szCs w:val="16"/>
        </w:rPr>
        <w:t>easures the performance of the small-cap value segment of the U.S. equities.</w:t>
      </w:r>
    </w:p>
    <w:p w14:paraId="73067365" w14:textId="77777777" w:rsidR="004B4F3B" w:rsidRPr="00BA1D42" w:rsidRDefault="004B4F3B" w:rsidP="004B4F3B">
      <w:pPr>
        <w:numPr>
          <w:ilvl w:val="0"/>
          <w:numId w:val="2"/>
        </w:numPr>
        <w:ind w:left="0"/>
        <w:rPr>
          <w:sz w:val="16"/>
          <w:szCs w:val="16"/>
        </w:rPr>
      </w:pPr>
      <w:r w:rsidRPr="00BA1D42">
        <w:rPr>
          <w:sz w:val="16"/>
          <w:szCs w:val="16"/>
        </w:rPr>
        <w:t>The Barclays Capital U.S. Aggregate Index is an unmanaged market value weighted performance benchmark for investment-grade fixed rate debt issues, including government, corporate, asset backed, mortgage backed securities with a maturity of at least 1 year.</w:t>
      </w:r>
    </w:p>
    <w:p w14:paraId="5985DC8E" w14:textId="77777777" w:rsidR="004B4F3B" w:rsidRPr="001B273C" w:rsidRDefault="004B4F3B" w:rsidP="004B4F3B">
      <w:pPr>
        <w:numPr>
          <w:ilvl w:val="0"/>
          <w:numId w:val="2"/>
        </w:numPr>
        <w:ind w:left="-360" w:firstLine="0"/>
        <w:rPr>
          <w:sz w:val="16"/>
          <w:szCs w:val="16"/>
        </w:rPr>
      </w:pPr>
      <w:r w:rsidRPr="001B273C">
        <w:rPr>
          <w:sz w:val="16"/>
          <w:szCs w:val="16"/>
        </w:rPr>
        <w:t xml:space="preserve">All investing involves some degree of risk, investors may incur a profit or loss regardless of the strategy or strategies employed. </w:t>
      </w:r>
    </w:p>
    <w:p w14:paraId="50DC1053" w14:textId="71103752" w:rsidR="00A32490" w:rsidRDefault="004B4F3B" w:rsidP="004B4F3B">
      <w:pPr>
        <w:ind w:firstLine="0"/>
        <w:rPr>
          <w:sz w:val="16"/>
          <w:szCs w:val="16"/>
        </w:rPr>
      </w:pPr>
      <w:r w:rsidRPr="001B273C">
        <w:rPr>
          <w:sz w:val="16"/>
          <w:szCs w:val="16"/>
        </w:rPr>
        <w:t xml:space="preserve">Investments mentioned may not be suitable for all investors. </w:t>
      </w:r>
    </w:p>
    <w:p w14:paraId="4F467136" w14:textId="77777777" w:rsidR="00D93186" w:rsidRDefault="00D93186" w:rsidP="004B4F3B">
      <w:pPr>
        <w:ind w:firstLine="0"/>
        <w:rPr>
          <w:sz w:val="16"/>
          <w:szCs w:val="16"/>
        </w:rPr>
      </w:pPr>
    </w:p>
    <w:sectPr w:rsidR="00D93186" w:rsidSect="00083336">
      <w:footerReference w:type="default" r:id="rId9"/>
      <w:pgSz w:w="12240" w:h="15840" w:code="1"/>
      <w:pgMar w:top="1440" w:right="1530" w:bottom="1440" w:left="207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E9B9" w14:textId="77777777" w:rsidR="00906A3B" w:rsidRDefault="00906A3B">
      <w:r>
        <w:separator/>
      </w:r>
    </w:p>
  </w:endnote>
  <w:endnote w:type="continuationSeparator" w:id="0">
    <w:p w14:paraId="23E84E68" w14:textId="77777777" w:rsidR="00906A3B" w:rsidRDefault="0090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38FC" w14:textId="047ACA15" w:rsidR="00C25B66" w:rsidRDefault="00C25B66">
    <w:pPr>
      <w:pStyle w:val="Footer"/>
      <w:jc w:val="center"/>
    </w:pPr>
  </w:p>
  <w:p w14:paraId="71078DA6" w14:textId="77777777" w:rsidR="00E95BF3" w:rsidRDefault="00000000" w:rsidP="001341F4">
    <w:pPr>
      <w:pStyle w:val="Footer"/>
      <w:tabs>
        <w:tab w:val="center" w:pos="4752"/>
        <w:tab w:val="left" w:pos="5028"/>
        <w:tab w:val="left" w:pos="52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5D7F" w14:textId="77777777" w:rsidR="00906A3B" w:rsidRDefault="00906A3B">
      <w:r>
        <w:separator/>
      </w:r>
    </w:p>
  </w:footnote>
  <w:footnote w:type="continuationSeparator" w:id="0">
    <w:p w14:paraId="1397447D" w14:textId="77777777" w:rsidR="00906A3B" w:rsidRDefault="00906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46CF"/>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FA91697"/>
    <w:multiLevelType w:val="hybridMultilevel"/>
    <w:tmpl w:val="AA2CE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3C7586"/>
    <w:multiLevelType w:val="hybridMultilevel"/>
    <w:tmpl w:val="767CD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037A42"/>
    <w:multiLevelType w:val="hybridMultilevel"/>
    <w:tmpl w:val="1CA448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4983D01"/>
    <w:multiLevelType w:val="hybridMultilevel"/>
    <w:tmpl w:val="6C766112"/>
    <w:lvl w:ilvl="0" w:tplc="2408A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9D3A8C"/>
    <w:multiLevelType w:val="hybridMultilevel"/>
    <w:tmpl w:val="5EFEAC4A"/>
    <w:lvl w:ilvl="0" w:tplc="106C6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9D11E3"/>
    <w:multiLevelType w:val="hybridMultilevel"/>
    <w:tmpl w:val="1B70F382"/>
    <w:lvl w:ilvl="0" w:tplc="4156DBF0">
      <w:start w:val="1"/>
      <w:numFmt w:val="upperRoman"/>
      <w:lvlText w:val="%1."/>
      <w:lvlJc w:val="left"/>
      <w:pPr>
        <w:ind w:left="840" w:hanging="360"/>
      </w:pPr>
      <w:rPr>
        <w:rFonts w:ascii="Times New Roman" w:eastAsiaTheme="minorHAnsi" w:hAnsi="Times New Roman"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54405F71"/>
    <w:multiLevelType w:val="hybridMultilevel"/>
    <w:tmpl w:val="6D7CA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656D515F"/>
    <w:multiLevelType w:val="hybridMultilevel"/>
    <w:tmpl w:val="507E5CEE"/>
    <w:lvl w:ilvl="0" w:tplc="A426F188">
      <w:start w:val="1"/>
      <w:numFmt w:val="bullet"/>
      <w:lvlText w:val=""/>
      <w:lvlJc w:val="left"/>
      <w:pPr>
        <w:ind w:left="720" w:hanging="360"/>
      </w:pPr>
      <w:rPr>
        <w:rFonts w:ascii="Symbol" w:hAnsi="Symbol" w:hint="default"/>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C4726"/>
    <w:multiLevelType w:val="hybridMultilevel"/>
    <w:tmpl w:val="6298FB2A"/>
    <w:lvl w:ilvl="0" w:tplc="0756CF62">
      <w:start w:val="1"/>
      <w:numFmt w:val="decimal"/>
      <w:lvlText w:val="%1."/>
      <w:lvlJc w:val="left"/>
      <w:pPr>
        <w:ind w:left="1080" w:hanging="360"/>
      </w:pPr>
      <w:rPr>
        <w:rFonts w:hint="default"/>
        <w:b w:val="0"/>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A3743C"/>
    <w:multiLevelType w:val="hybridMultilevel"/>
    <w:tmpl w:val="EA009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2813779">
    <w:abstractNumId w:val="8"/>
  </w:num>
  <w:num w:numId="2" w16cid:durableId="20517033">
    <w:abstractNumId w:val="0"/>
  </w:num>
  <w:num w:numId="3" w16cid:durableId="32967890">
    <w:abstractNumId w:val="9"/>
  </w:num>
  <w:num w:numId="4" w16cid:durableId="1140457732">
    <w:abstractNumId w:val="2"/>
  </w:num>
  <w:num w:numId="5" w16cid:durableId="1621376359">
    <w:abstractNumId w:val="10"/>
  </w:num>
  <w:num w:numId="6" w16cid:durableId="978002310">
    <w:abstractNumId w:val="5"/>
  </w:num>
  <w:num w:numId="7" w16cid:durableId="312367713">
    <w:abstractNumId w:val="4"/>
  </w:num>
  <w:num w:numId="8" w16cid:durableId="794951749">
    <w:abstractNumId w:val="1"/>
  </w:num>
  <w:num w:numId="9" w16cid:durableId="1443038553">
    <w:abstractNumId w:val="3"/>
  </w:num>
  <w:num w:numId="10" w16cid:durableId="1192307312">
    <w:abstractNumId w:val="7"/>
  </w:num>
  <w:num w:numId="11" w16cid:durableId="313220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37"/>
    <w:rsid w:val="00001705"/>
    <w:rsid w:val="000051E2"/>
    <w:rsid w:val="00010533"/>
    <w:rsid w:val="000200F1"/>
    <w:rsid w:val="00020A80"/>
    <w:rsid w:val="00021B02"/>
    <w:rsid w:val="0002255D"/>
    <w:rsid w:val="00022D31"/>
    <w:rsid w:val="00031A3B"/>
    <w:rsid w:val="00033BF0"/>
    <w:rsid w:val="0004017B"/>
    <w:rsid w:val="00040A71"/>
    <w:rsid w:val="000440C3"/>
    <w:rsid w:val="000457D4"/>
    <w:rsid w:val="000459F7"/>
    <w:rsid w:val="000471B6"/>
    <w:rsid w:val="0005299D"/>
    <w:rsid w:val="000574CE"/>
    <w:rsid w:val="00057D41"/>
    <w:rsid w:val="00061527"/>
    <w:rsid w:val="00063DF6"/>
    <w:rsid w:val="00064815"/>
    <w:rsid w:val="00067234"/>
    <w:rsid w:val="000676C7"/>
    <w:rsid w:val="0007026A"/>
    <w:rsid w:val="0007080D"/>
    <w:rsid w:val="00071EED"/>
    <w:rsid w:val="00072BA3"/>
    <w:rsid w:val="00075E2D"/>
    <w:rsid w:val="00080921"/>
    <w:rsid w:val="00083336"/>
    <w:rsid w:val="00087E82"/>
    <w:rsid w:val="00090A2B"/>
    <w:rsid w:val="0009271B"/>
    <w:rsid w:val="000934FA"/>
    <w:rsid w:val="0009705E"/>
    <w:rsid w:val="000A41DA"/>
    <w:rsid w:val="000A4CF3"/>
    <w:rsid w:val="000B07A8"/>
    <w:rsid w:val="000B0EB6"/>
    <w:rsid w:val="000B10A3"/>
    <w:rsid w:val="000B1F22"/>
    <w:rsid w:val="000B3FFB"/>
    <w:rsid w:val="000B59DF"/>
    <w:rsid w:val="000B6523"/>
    <w:rsid w:val="000B6F9B"/>
    <w:rsid w:val="000B71D5"/>
    <w:rsid w:val="000B7AC3"/>
    <w:rsid w:val="000C0F78"/>
    <w:rsid w:val="000C14F4"/>
    <w:rsid w:val="000C4715"/>
    <w:rsid w:val="000C64C4"/>
    <w:rsid w:val="000D2E82"/>
    <w:rsid w:val="000D2EC0"/>
    <w:rsid w:val="000E1E9C"/>
    <w:rsid w:val="000E4821"/>
    <w:rsid w:val="000E6813"/>
    <w:rsid w:val="000F2764"/>
    <w:rsid w:val="000F5256"/>
    <w:rsid w:val="000F6D1A"/>
    <w:rsid w:val="0010172B"/>
    <w:rsid w:val="00101F54"/>
    <w:rsid w:val="00104AAB"/>
    <w:rsid w:val="001057A0"/>
    <w:rsid w:val="001108AA"/>
    <w:rsid w:val="00112703"/>
    <w:rsid w:val="00114F38"/>
    <w:rsid w:val="00116BBB"/>
    <w:rsid w:val="00116FAC"/>
    <w:rsid w:val="001179D7"/>
    <w:rsid w:val="0012128C"/>
    <w:rsid w:val="0012365F"/>
    <w:rsid w:val="001237F9"/>
    <w:rsid w:val="00124F55"/>
    <w:rsid w:val="00133033"/>
    <w:rsid w:val="0014321D"/>
    <w:rsid w:val="00144932"/>
    <w:rsid w:val="001460DF"/>
    <w:rsid w:val="00146C93"/>
    <w:rsid w:val="001478DE"/>
    <w:rsid w:val="0015134D"/>
    <w:rsid w:val="0015444B"/>
    <w:rsid w:val="00160F6E"/>
    <w:rsid w:val="0017146F"/>
    <w:rsid w:val="00173FB7"/>
    <w:rsid w:val="00176C1E"/>
    <w:rsid w:val="00180B2C"/>
    <w:rsid w:val="00181414"/>
    <w:rsid w:val="00181B46"/>
    <w:rsid w:val="00186686"/>
    <w:rsid w:val="001923C6"/>
    <w:rsid w:val="001926B7"/>
    <w:rsid w:val="001A1217"/>
    <w:rsid w:val="001A5D01"/>
    <w:rsid w:val="001B29AF"/>
    <w:rsid w:val="001B2F0A"/>
    <w:rsid w:val="001B685D"/>
    <w:rsid w:val="001C04A3"/>
    <w:rsid w:val="001C0C92"/>
    <w:rsid w:val="001C147B"/>
    <w:rsid w:val="001C17A3"/>
    <w:rsid w:val="001C2928"/>
    <w:rsid w:val="001C44EC"/>
    <w:rsid w:val="001D2132"/>
    <w:rsid w:val="001D2EAB"/>
    <w:rsid w:val="001D5065"/>
    <w:rsid w:val="001D5619"/>
    <w:rsid w:val="001D652B"/>
    <w:rsid w:val="001E0B3B"/>
    <w:rsid w:val="001E0DA8"/>
    <w:rsid w:val="001E4527"/>
    <w:rsid w:val="001E58FF"/>
    <w:rsid w:val="001F1AAE"/>
    <w:rsid w:val="001F2AF7"/>
    <w:rsid w:val="001F42D4"/>
    <w:rsid w:val="001F50C3"/>
    <w:rsid w:val="001F540C"/>
    <w:rsid w:val="00200B8C"/>
    <w:rsid w:val="00204602"/>
    <w:rsid w:val="002047B1"/>
    <w:rsid w:val="00212447"/>
    <w:rsid w:val="002133E9"/>
    <w:rsid w:val="00213D74"/>
    <w:rsid w:val="00222553"/>
    <w:rsid w:val="00223D2E"/>
    <w:rsid w:val="00226F8F"/>
    <w:rsid w:val="00227CDD"/>
    <w:rsid w:val="00231898"/>
    <w:rsid w:val="002324FA"/>
    <w:rsid w:val="00233268"/>
    <w:rsid w:val="00234EF2"/>
    <w:rsid w:val="00236C71"/>
    <w:rsid w:val="00240532"/>
    <w:rsid w:val="00241039"/>
    <w:rsid w:val="002447AA"/>
    <w:rsid w:val="002479ED"/>
    <w:rsid w:val="00251B45"/>
    <w:rsid w:val="0025634C"/>
    <w:rsid w:val="00262C4C"/>
    <w:rsid w:val="0026708D"/>
    <w:rsid w:val="00275CF3"/>
    <w:rsid w:val="0027781A"/>
    <w:rsid w:val="0028352C"/>
    <w:rsid w:val="002836FF"/>
    <w:rsid w:val="002840B5"/>
    <w:rsid w:val="00286178"/>
    <w:rsid w:val="002910DB"/>
    <w:rsid w:val="00292EDD"/>
    <w:rsid w:val="00293072"/>
    <w:rsid w:val="00293FF8"/>
    <w:rsid w:val="00294C14"/>
    <w:rsid w:val="002A2115"/>
    <w:rsid w:val="002A26E3"/>
    <w:rsid w:val="002A42DE"/>
    <w:rsid w:val="002B2410"/>
    <w:rsid w:val="002B30D4"/>
    <w:rsid w:val="002B41DB"/>
    <w:rsid w:val="002B42B3"/>
    <w:rsid w:val="002B4755"/>
    <w:rsid w:val="002B4D7D"/>
    <w:rsid w:val="002B5376"/>
    <w:rsid w:val="002B62BA"/>
    <w:rsid w:val="002B76DE"/>
    <w:rsid w:val="002C0682"/>
    <w:rsid w:val="002C0D2D"/>
    <w:rsid w:val="002C186B"/>
    <w:rsid w:val="002C2FAE"/>
    <w:rsid w:val="002E1F5D"/>
    <w:rsid w:val="002E49DC"/>
    <w:rsid w:val="002F206F"/>
    <w:rsid w:val="002F77A0"/>
    <w:rsid w:val="002F7DCF"/>
    <w:rsid w:val="003033EC"/>
    <w:rsid w:val="00303765"/>
    <w:rsid w:val="00303C31"/>
    <w:rsid w:val="00305503"/>
    <w:rsid w:val="0030755E"/>
    <w:rsid w:val="0030787F"/>
    <w:rsid w:val="00307BBB"/>
    <w:rsid w:val="003107F6"/>
    <w:rsid w:val="00311958"/>
    <w:rsid w:val="00313815"/>
    <w:rsid w:val="00313882"/>
    <w:rsid w:val="00315787"/>
    <w:rsid w:val="00317957"/>
    <w:rsid w:val="00320675"/>
    <w:rsid w:val="00322479"/>
    <w:rsid w:val="00324CE0"/>
    <w:rsid w:val="0032651A"/>
    <w:rsid w:val="003275CD"/>
    <w:rsid w:val="00331985"/>
    <w:rsid w:val="0033235B"/>
    <w:rsid w:val="0033356B"/>
    <w:rsid w:val="00346EF9"/>
    <w:rsid w:val="003479FF"/>
    <w:rsid w:val="00347CEF"/>
    <w:rsid w:val="0035049B"/>
    <w:rsid w:val="0035323D"/>
    <w:rsid w:val="003547F5"/>
    <w:rsid w:val="00361164"/>
    <w:rsid w:val="003626D6"/>
    <w:rsid w:val="00364AAF"/>
    <w:rsid w:val="00366D83"/>
    <w:rsid w:val="003705AE"/>
    <w:rsid w:val="00371D3D"/>
    <w:rsid w:val="003721DA"/>
    <w:rsid w:val="00372BAD"/>
    <w:rsid w:val="003748E0"/>
    <w:rsid w:val="00384921"/>
    <w:rsid w:val="003853A1"/>
    <w:rsid w:val="00385CF6"/>
    <w:rsid w:val="003863C6"/>
    <w:rsid w:val="00387548"/>
    <w:rsid w:val="00395D36"/>
    <w:rsid w:val="00395F86"/>
    <w:rsid w:val="003960FB"/>
    <w:rsid w:val="00397A96"/>
    <w:rsid w:val="003A43BD"/>
    <w:rsid w:val="003A4D4D"/>
    <w:rsid w:val="003B0F97"/>
    <w:rsid w:val="003B2E88"/>
    <w:rsid w:val="003B2F86"/>
    <w:rsid w:val="003B4896"/>
    <w:rsid w:val="003B4FDB"/>
    <w:rsid w:val="003B6ACD"/>
    <w:rsid w:val="003C1DE8"/>
    <w:rsid w:val="003C3548"/>
    <w:rsid w:val="003C6704"/>
    <w:rsid w:val="003D1EAC"/>
    <w:rsid w:val="003D2554"/>
    <w:rsid w:val="003D2B8B"/>
    <w:rsid w:val="003D3AD9"/>
    <w:rsid w:val="003D3DFF"/>
    <w:rsid w:val="003E1CFE"/>
    <w:rsid w:val="003E621E"/>
    <w:rsid w:val="003F02F6"/>
    <w:rsid w:val="003F08C8"/>
    <w:rsid w:val="003F18D1"/>
    <w:rsid w:val="003F2BE1"/>
    <w:rsid w:val="00400BAA"/>
    <w:rsid w:val="00403E19"/>
    <w:rsid w:val="004069E0"/>
    <w:rsid w:val="00407A6B"/>
    <w:rsid w:val="00411B37"/>
    <w:rsid w:val="004179C2"/>
    <w:rsid w:val="004230F0"/>
    <w:rsid w:val="00423130"/>
    <w:rsid w:val="004232E0"/>
    <w:rsid w:val="00426370"/>
    <w:rsid w:val="00430E92"/>
    <w:rsid w:val="004313FE"/>
    <w:rsid w:val="00436328"/>
    <w:rsid w:val="00437639"/>
    <w:rsid w:val="00441887"/>
    <w:rsid w:val="00441D14"/>
    <w:rsid w:val="004506C7"/>
    <w:rsid w:val="00455CEF"/>
    <w:rsid w:val="00463CD1"/>
    <w:rsid w:val="00464253"/>
    <w:rsid w:val="00465F64"/>
    <w:rsid w:val="004710BD"/>
    <w:rsid w:val="00472E54"/>
    <w:rsid w:val="00476260"/>
    <w:rsid w:val="00477420"/>
    <w:rsid w:val="00481DE6"/>
    <w:rsid w:val="004822EB"/>
    <w:rsid w:val="0048411A"/>
    <w:rsid w:val="00485AFA"/>
    <w:rsid w:val="00485CFE"/>
    <w:rsid w:val="004905E3"/>
    <w:rsid w:val="004955AF"/>
    <w:rsid w:val="004973AD"/>
    <w:rsid w:val="004A0F75"/>
    <w:rsid w:val="004A15D0"/>
    <w:rsid w:val="004A2161"/>
    <w:rsid w:val="004A4817"/>
    <w:rsid w:val="004A7E02"/>
    <w:rsid w:val="004B4F3B"/>
    <w:rsid w:val="004B5218"/>
    <w:rsid w:val="004B661F"/>
    <w:rsid w:val="004C1066"/>
    <w:rsid w:val="004C6212"/>
    <w:rsid w:val="004D19B0"/>
    <w:rsid w:val="004D3F3B"/>
    <w:rsid w:val="004D410E"/>
    <w:rsid w:val="004D677F"/>
    <w:rsid w:val="004D762F"/>
    <w:rsid w:val="004E49AB"/>
    <w:rsid w:val="004E4D18"/>
    <w:rsid w:val="004E5E0A"/>
    <w:rsid w:val="004E6B47"/>
    <w:rsid w:val="004F2B97"/>
    <w:rsid w:val="004F5FFB"/>
    <w:rsid w:val="004F64FE"/>
    <w:rsid w:val="004F72AC"/>
    <w:rsid w:val="00502584"/>
    <w:rsid w:val="00506084"/>
    <w:rsid w:val="005105F1"/>
    <w:rsid w:val="00512647"/>
    <w:rsid w:val="00512D6C"/>
    <w:rsid w:val="005138CC"/>
    <w:rsid w:val="00514994"/>
    <w:rsid w:val="005149ED"/>
    <w:rsid w:val="00523E82"/>
    <w:rsid w:val="00525CE3"/>
    <w:rsid w:val="00525FB6"/>
    <w:rsid w:val="005267CE"/>
    <w:rsid w:val="0052782A"/>
    <w:rsid w:val="00527F9E"/>
    <w:rsid w:val="00530697"/>
    <w:rsid w:val="005306A1"/>
    <w:rsid w:val="00530F4F"/>
    <w:rsid w:val="00533ACB"/>
    <w:rsid w:val="0053449B"/>
    <w:rsid w:val="0053510F"/>
    <w:rsid w:val="00536A63"/>
    <w:rsid w:val="00541171"/>
    <w:rsid w:val="00544CA3"/>
    <w:rsid w:val="00553170"/>
    <w:rsid w:val="00560146"/>
    <w:rsid w:val="00560657"/>
    <w:rsid w:val="00560842"/>
    <w:rsid w:val="00561630"/>
    <w:rsid w:val="005619F4"/>
    <w:rsid w:val="00563A11"/>
    <w:rsid w:val="005657C1"/>
    <w:rsid w:val="00566E31"/>
    <w:rsid w:val="00567565"/>
    <w:rsid w:val="005701F7"/>
    <w:rsid w:val="00573190"/>
    <w:rsid w:val="0057458A"/>
    <w:rsid w:val="005745DF"/>
    <w:rsid w:val="00576481"/>
    <w:rsid w:val="00577948"/>
    <w:rsid w:val="0059440A"/>
    <w:rsid w:val="005A1371"/>
    <w:rsid w:val="005A22FE"/>
    <w:rsid w:val="005A3B17"/>
    <w:rsid w:val="005A70ED"/>
    <w:rsid w:val="005B2D5B"/>
    <w:rsid w:val="005B67A1"/>
    <w:rsid w:val="005B70CF"/>
    <w:rsid w:val="005C1A0A"/>
    <w:rsid w:val="005C1ECE"/>
    <w:rsid w:val="005C3DC6"/>
    <w:rsid w:val="005C47CA"/>
    <w:rsid w:val="005D256B"/>
    <w:rsid w:val="005D25AD"/>
    <w:rsid w:val="005D4593"/>
    <w:rsid w:val="005D53C4"/>
    <w:rsid w:val="005D558B"/>
    <w:rsid w:val="005D6270"/>
    <w:rsid w:val="005D6D90"/>
    <w:rsid w:val="005D6EFD"/>
    <w:rsid w:val="005D794F"/>
    <w:rsid w:val="005E14A7"/>
    <w:rsid w:val="005E2ACE"/>
    <w:rsid w:val="005F0BD6"/>
    <w:rsid w:val="005F22DF"/>
    <w:rsid w:val="005F6C70"/>
    <w:rsid w:val="00601059"/>
    <w:rsid w:val="006012F7"/>
    <w:rsid w:val="00601A08"/>
    <w:rsid w:val="0060371B"/>
    <w:rsid w:val="00603B0B"/>
    <w:rsid w:val="006132D9"/>
    <w:rsid w:val="00614F00"/>
    <w:rsid w:val="006176E2"/>
    <w:rsid w:val="00621F11"/>
    <w:rsid w:val="00622D2A"/>
    <w:rsid w:val="006260C4"/>
    <w:rsid w:val="00626129"/>
    <w:rsid w:val="006276CA"/>
    <w:rsid w:val="00633F60"/>
    <w:rsid w:val="00636336"/>
    <w:rsid w:val="006372C0"/>
    <w:rsid w:val="00637836"/>
    <w:rsid w:val="00641195"/>
    <w:rsid w:val="00641DBB"/>
    <w:rsid w:val="00644657"/>
    <w:rsid w:val="006451C6"/>
    <w:rsid w:val="006660B0"/>
    <w:rsid w:val="00670059"/>
    <w:rsid w:val="00670830"/>
    <w:rsid w:val="00670BF1"/>
    <w:rsid w:val="0067243A"/>
    <w:rsid w:val="006738E5"/>
    <w:rsid w:val="00674487"/>
    <w:rsid w:val="00675529"/>
    <w:rsid w:val="00675B51"/>
    <w:rsid w:val="00675B89"/>
    <w:rsid w:val="00675E59"/>
    <w:rsid w:val="0068016D"/>
    <w:rsid w:val="00684F6E"/>
    <w:rsid w:val="00695387"/>
    <w:rsid w:val="0069578E"/>
    <w:rsid w:val="006A07EF"/>
    <w:rsid w:val="006A4126"/>
    <w:rsid w:val="006A42CA"/>
    <w:rsid w:val="006A4AD6"/>
    <w:rsid w:val="006A50EC"/>
    <w:rsid w:val="006A5C52"/>
    <w:rsid w:val="006A6253"/>
    <w:rsid w:val="006B0F10"/>
    <w:rsid w:val="006B1328"/>
    <w:rsid w:val="006B3656"/>
    <w:rsid w:val="006B67C6"/>
    <w:rsid w:val="006C3DEE"/>
    <w:rsid w:val="006C7B53"/>
    <w:rsid w:val="006D7078"/>
    <w:rsid w:val="006E1E8A"/>
    <w:rsid w:val="006E326D"/>
    <w:rsid w:val="006E479C"/>
    <w:rsid w:val="006E53B7"/>
    <w:rsid w:val="006E653E"/>
    <w:rsid w:val="006F1882"/>
    <w:rsid w:val="006F2FD4"/>
    <w:rsid w:val="006F374E"/>
    <w:rsid w:val="006F599B"/>
    <w:rsid w:val="006F67C9"/>
    <w:rsid w:val="006F6A02"/>
    <w:rsid w:val="007001C2"/>
    <w:rsid w:val="00700808"/>
    <w:rsid w:val="007059E7"/>
    <w:rsid w:val="0070608C"/>
    <w:rsid w:val="0070646C"/>
    <w:rsid w:val="00710CD3"/>
    <w:rsid w:val="0071409E"/>
    <w:rsid w:val="007144AD"/>
    <w:rsid w:val="007167E9"/>
    <w:rsid w:val="0072168F"/>
    <w:rsid w:val="00726C7A"/>
    <w:rsid w:val="007307AE"/>
    <w:rsid w:val="0073284B"/>
    <w:rsid w:val="00733259"/>
    <w:rsid w:val="00735E90"/>
    <w:rsid w:val="007432B2"/>
    <w:rsid w:val="00744E79"/>
    <w:rsid w:val="00745151"/>
    <w:rsid w:val="00745D5E"/>
    <w:rsid w:val="00753374"/>
    <w:rsid w:val="00754ACC"/>
    <w:rsid w:val="00754E6A"/>
    <w:rsid w:val="0075537E"/>
    <w:rsid w:val="00755BE8"/>
    <w:rsid w:val="00760472"/>
    <w:rsid w:val="00760884"/>
    <w:rsid w:val="00764151"/>
    <w:rsid w:val="0076678C"/>
    <w:rsid w:val="0076717D"/>
    <w:rsid w:val="00772B74"/>
    <w:rsid w:val="00772D65"/>
    <w:rsid w:val="00775A25"/>
    <w:rsid w:val="00785E5D"/>
    <w:rsid w:val="00786A00"/>
    <w:rsid w:val="0078737D"/>
    <w:rsid w:val="00795343"/>
    <w:rsid w:val="007A0992"/>
    <w:rsid w:val="007A1B63"/>
    <w:rsid w:val="007A30EC"/>
    <w:rsid w:val="007B0FFA"/>
    <w:rsid w:val="007B33CE"/>
    <w:rsid w:val="007C1227"/>
    <w:rsid w:val="007C38BC"/>
    <w:rsid w:val="007C425C"/>
    <w:rsid w:val="007C4F92"/>
    <w:rsid w:val="007C6619"/>
    <w:rsid w:val="007D4062"/>
    <w:rsid w:val="007D6316"/>
    <w:rsid w:val="007D7DDA"/>
    <w:rsid w:val="007E0BBE"/>
    <w:rsid w:val="007E0D79"/>
    <w:rsid w:val="007E286F"/>
    <w:rsid w:val="007E2BA1"/>
    <w:rsid w:val="007F14C7"/>
    <w:rsid w:val="007F19BF"/>
    <w:rsid w:val="007F4848"/>
    <w:rsid w:val="007F4B68"/>
    <w:rsid w:val="007F5C75"/>
    <w:rsid w:val="00800B0A"/>
    <w:rsid w:val="00803CED"/>
    <w:rsid w:val="00810AEA"/>
    <w:rsid w:val="008216C9"/>
    <w:rsid w:val="00825F74"/>
    <w:rsid w:val="00826024"/>
    <w:rsid w:val="00827E20"/>
    <w:rsid w:val="00831E4F"/>
    <w:rsid w:val="008332EA"/>
    <w:rsid w:val="00834DAC"/>
    <w:rsid w:val="00834EF6"/>
    <w:rsid w:val="0083606A"/>
    <w:rsid w:val="008375D3"/>
    <w:rsid w:val="00843E2A"/>
    <w:rsid w:val="008457B2"/>
    <w:rsid w:val="00846DCA"/>
    <w:rsid w:val="00851665"/>
    <w:rsid w:val="008520CC"/>
    <w:rsid w:val="00853023"/>
    <w:rsid w:val="00853371"/>
    <w:rsid w:val="008609FB"/>
    <w:rsid w:val="00863466"/>
    <w:rsid w:val="0086626B"/>
    <w:rsid w:val="00867004"/>
    <w:rsid w:val="00874571"/>
    <w:rsid w:val="008748BF"/>
    <w:rsid w:val="00874A57"/>
    <w:rsid w:val="00876579"/>
    <w:rsid w:val="00891BB9"/>
    <w:rsid w:val="008924D8"/>
    <w:rsid w:val="008A22B9"/>
    <w:rsid w:val="008A40C7"/>
    <w:rsid w:val="008B2602"/>
    <w:rsid w:val="008B35D9"/>
    <w:rsid w:val="008C0C1A"/>
    <w:rsid w:val="008C2B9D"/>
    <w:rsid w:val="008C3FEA"/>
    <w:rsid w:val="008C683C"/>
    <w:rsid w:val="008C7D1E"/>
    <w:rsid w:val="008D354F"/>
    <w:rsid w:val="008D49AA"/>
    <w:rsid w:val="008D6AB7"/>
    <w:rsid w:val="008D7145"/>
    <w:rsid w:val="008E18E6"/>
    <w:rsid w:val="008E639D"/>
    <w:rsid w:val="008E67B3"/>
    <w:rsid w:val="008F098F"/>
    <w:rsid w:val="008F0EA8"/>
    <w:rsid w:val="008F1738"/>
    <w:rsid w:val="008F1CBC"/>
    <w:rsid w:val="008F528B"/>
    <w:rsid w:val="008F6FCF"/>
    <w:rsid w:val="00904615"/>
    <w:rsid w:val="00906A3B"/>
    <w:rsid w:val="0090764B"/>
    <w:rsid w:val="00912B08"/>
    <w:rsid w:val="00914044"/>
    <w:rsid w:val="00914196"/>
    <w:rsid w:val="00916CFA"/>
    <w:rsid w:val="00916FC6"/>
    <w:rsid w:val="00917989"/>
    <w:rsid w:val="00921F8E"/>
    <w:rsid w:val="0092495B"/>
    <w:rsid w:val="00927844"/>
    <w:rsid w:val="009279FB"/>
    <w:rsid w:val="0093410C"/>
    <w:rsid w:val="00934515"/>
    <w:rsid w:val="009352ED"/>
    <w:rsid w:val="009363F0"/>
    <w:rsid w:val="009420E5"/>
    <w:rsid w:val="009439F6"/>
    <w:rsid w:val="0094749B"/>
    <w:rsid w:val="00957096"/>
    <w:rsid w:val="00963922"/>
    <w:rsid w:val="009644DB"/>
    <w:rsid w:val="00964711"/>
    <w:rsid w:val="0096663F"/>
    <w:rsid w:val="009701DC"/>
    <w:rsid w:val="0097418E"/>
    <w:rsid w:val="009804ED"/>
    <w:rsid w:val="00982D00"/>
    <w:rsid w:val="00984D75"/>
    <w:rsid w:val="00992A48"/>
    <w:rsid w:val="00995DCB"/>
    <w:rsid w:val="009A17A6"/>
    <w:rsid w:val="009A1BBB"/>
    <w:rsid w:val="009A358C"/>
    <w:rsid w:val="009A3908"/>
    <w:rsid w:val="009A3F49"/>
    <w:rsid w:val="009A4814"/>
    <w:rsid w:val="009B0072"/>
    <w:rsid w:val="009B079F"/>
    <w:rsid w:val="009B1C5C"/>
    <w:rsid w:val="009B427D"/>
    <w:rsid w:val="009B6545"/>
    <w:rsid w:val="009C1714"/>
    <w:rsid w:val="009C1E81"/>
    <w:rsid w:val="009C3687"/>
    <w:rsid w:val="009D03FF"/>
    <w:rsid w:val="009D0BFC"/>
    <w:rsid w:val="009D612C"/>
    <w:rsid w:val="009D644F"/>
    <w:rsid w:val="009E0D8D"/>
    <w:rsid w:val="009F4319"/>
    <w:rsid w:val="009F5B95"/>
    <w:rsid w:val="009F6764"/>
    <w:rsid w:val="00A02C9D"/>
    <w:rsid w:val="00A0481B"/>
    <w:rsid w:val="00A1235F"/>
    <w:rsid w:val="00A16369"/>
    <w:rsid w:val="00A2305B"/>
    <w:rsid w:val="00A25B35"/>
    <w:rsid w:val="00A31DF0"/>
    <w:rsid w:val="00A32490"/>
    <w:rsid w:val="00A324D7"/>
    <w:rsid w:val="00A32C20"/>
    <w:rsid w:val="00A355CC"/>
    <w:rsid w:val="00A416F9"/>
    <w:rsid w:val="00A43BAF"/>
    <w:rsid w:val="00A45A87"/>
    <w:rsid w:val="00A4633F"/>
    <w:rsid w:val="00A479A4"/>
    <w:rsid w:val="00A521D6"/>
    <w:rsid w:val="00A52FBE"/>
    <w:rsid w:val="00A5350C"/>
    <w:rsid w:val="00A54C8F"/>
    <w:rsid w:val="00A56CFB"/>
    <w:rsid w:val="00A56D8C"/>
    <w:rsid w:val="00A63B46"/>
    <w:rsid w:val="00A7020B"/>
    <w:rsid w:val="00A74811"/>
    <w:rsid w:val="00A80946"/>
    <w:rsid w:val="00A82385"/>
    <w:rsid w:val="00A83615"/>
    <w:rsid w:val="00A8376E"/>
    <w:rsid w:val="00A83EC1"/>
    <w:rsid w:val="00A84E28"/>
    <w:rsid w:val="00A94145"/>
    <w:rsid w:val="00AA5DDD"/>
    <w:rsid w:val="00AB044A"/>
    <w:rsid w:val="00AB3E92"/>
    <w:rsid w:val="00AB55B8"/>
    <w:rsid w:val="00AB7169"/>
    <w:rsid w:val="00AB7B3E"/>
    <w:rsid w:val="00AC0C29"/>
    <w:rsid w:val="00AC390C"/>
    <w:rsid w:val="00AD20C9"/>
    <w:rsid w:val="00AD3C06"/>
    <w:rsid w:val="00AD42C7"/>
    <w:rsid w:val="00AD71B5"/>
    <w:rsid w:val="00AD78E2"/>
    <w:rsid w:val="00AE4B70"/>
    <w:rsid w:val="00AE4F1D"/>
    <w:rsid w:val="00AE72A5"/>
    <w:rsid w:val="00AF3032"/>
    <w:rsid w:val="00AF392F"/>
    <w:rsid w:val="00AF4A6A"/>
    <w:rsid w:val="00AF70B4"/>
    <w:rsid w:val="00AF7B99"/>
    <w:rsid w:val="00B01C90"/>
    <w:rsid w:val="00B04168"/>
    <w:rsid w:val="00B06A2B"/>
    <w:rsid w:val="00B06DFD"/>
    <w:rsid w:val="00B115AC"/>
    <w:rsid w:val="00B16542"/>
    <w:rsid w:val="00B16632"/>
    <w:rsid w:val="00B357D9"/>
    <w:rsid w:val="00B36027"/>
    <w:rsid w:val="00B37615"/>
    <w:rsid w:val="00B412C0"/>
    <w:rsid w:val="00B41E83"/>
    <w:rsid w:val="00B439F1"/>
    <w:rsid w:val="00B455AB"/>
    <w:rsid w:val="00B5051B"/>
    <w:rsid w:val="00B50F06"/>
    <w:rsid w:val="00B51F02"/>
    <w:rsid w:val="00B55B11"/>
    <w:rsid w:val="00B572D4"/>
    <w:rsid w:val="00B6274D"/>
    <w:rsid w:val="00B7254E"/>
    <w:rsid w:val="00B736C1"/>
    <w:rsid w:val="00B80545"/>
    <w:rsid w:val="00B83DDA"/>
    <w:rsid w:val="00B8447F"/>
    <w:rsid w:val="00B845D1"/>
    <w:rsid w:val="00B84708"/>
    <w:rsid w:val="00B84F12"/>
    <w:rsid w:val="00B92625"/>
    <w:rsid w:val="00B9317E"/>
    <w:rsid w:val="00BA0512"/>
    <w:rsid w:val="00BA3688"/>
    <w:rsid w:val="00BB2B3E"/>
    <w:rsid w:val="00BB3C89"/>
    <w:rsid w:val="00BB4D0C"/>
    <w:rsid w:val="00BB5190"/>
    <w:rsid w:val="00BB7E20"/>
    <w:rsid w:val="00BC3964"/>
    <w:rsid w:val="00BC614F"/>
    <w:rsid w:val="00BC7302"/>
    <w:rsid w:val="00BD0330"/>
    <w:rsid w:val="00BD1A3D"/>
    <w:rsid w:val="00BD4DD5"/>
    <w:rsid w:val="00BD511A"/>
    <w:rsid w:val="00BD53DE"/>
    <w:rsid w:val="00BE04DC"/>
    <w:rsid w:val="00BE198C"/>
    <w:rsid w:val="00BE493F"/>
    <w:rsid w:val="00BE54A1"/>
    <w:rsid w:val="00BF2CA9"/>
    <w:rsid w:val="00BF3F24"/>
    <w:rsid w:val="00BF4D74"/>
    <w:rsid w:val="00BF5D75"/>
    <w:rsid w:val="00C10683"/>
    <w:rsid w:val="00C10FC9"/>
    <w:rsid w:val="00C11E6C"/>
    <w:rsid w:val="00C12A20"/>
    <w:rsid w:val="00C15551"/>
    <w:rsid w:val="00C158BD"/>
    <w:rsid w:val="00C20D3B"/>
    <w:rsid w:val="00C22391"/>
    <w:rsid w:val="00C2431B"/>
    <w:rsid w:val="00C25B66"/>
    <w:rsid w:val="00C36567"/>
    <w:rsid w:val="00C36FE1"/>
    <w:rsid w:val="00C40263"/>
    <w:rsid w:val="00C41C8D"/>
    <w:rsid w:val="00C42890"/>
    <w:rsid w:val="00C44592"/>
    <w:rsid w:val="00C52D75"/>
    <w:rsid w:val="00C5486C"/>
    <w:rsid w:val="00C61AB7"/>
    <w:rsid w:val="00C62FFE"/>
    <w:rsid w:val="00C724DA"/>
    <w:rsid w:val="00C72A4F"/>
    <w:rsid w:val="00C75BB4"/>
    <w:rsid w:val="00C76635"/>
    <w:rsid w:val="00C76906"/>
    <w:rsid w:val="00C76E4C"/>
    <w:rsid w:val="00C8035C"/>
    <w:rsid w:val="00C86EA0"/>
    <w:rsid w:val="00C969C5"/>
    <w:rsid w:val="00CA05B2"/>
    <w:rsid w:val="00CA18A8"/>
    <w:rsid w:val="00CA4831"/>
    <w:rsid w:val="00CA5ADB"/>
    <w:rsid w:val="00CB1488"/>
    <w:rsid w:val="00CB267F"/>
    <w:rsid w:val="00CB35D8"/>
    <w:rsid w:val="00CB3B14"/>
    <w:rsid w:val="00CB5659"/>
    <w:rsid w:val="00CB7449"/>
    <w:rsid w:val="00CC0172"/>
    <w:rsid w:val="00CC2423"/>
    <w:rsid w:val="00CC4485"/>
    <w:rsid w:val="00CC64FD"/>
    <w:rsid w:val="00CC66EF"/>
    <w:rsid w:val="00CC6727"/>
    <w:rsid w:val="00CC673F"/>
    <w:rsid w:val="00CC7C58"/>
    <w:rsid w:val="00CD29A0"/>
    <w:rsid w:val="00CD5BB9"/>
    <w:rsid w:val="00CD5BD2"/>
    <w:rsid w:val="00CD6442"/>
    <w:rsid w:val="00CE034F"/>
    <w:rsid w:val="00CE4DCA"/>
    <w:rsid w:val="00CE52D4"/>
    <w:rsid w:val="00CF29A6"/>
    <w:rsid w:val="00CF349C"/>
    <w:rsid w:val="00D010C6"/>
    <w:rsid w:val="00D05FC2"/>
    <w:rsid w:val="00D07770"/>
    <w:rsid w:val="00D1093A"/>
    <w:rsid w:val="00D141A9"/>
    <w:rsid w:val="00D17CD9"/>
    <w:rsid w:val="00D2112E"/>
    <w:rsid w:val="00D22F85"/>
    <w:rsid w:val="00D23BDA"/>
    <w:rsid w:val="00D25294"/>
    <w:rsid w:val="00D314F5"/>
    <w:rsid w:val="00D320EA"/>
    <w:rsid w:val="00D32D8B"/>
    <w:rsid w:val="00D33FA7"/>
    <w:rsid w:val="00D3518D"/>
    <w:rsid w:val="00D40605"/>
    <w:rsid w:val="00D407D9"/>
    <w:rsid w:val="00D407FF"/>
    <w:rsid w:val="00D443BA"/>
    <w:rsid w:val="00D463FA"/>
    <w:rsid w:val="00D50939"/>
    <w:rsid w:val="00D52DE2"/>
    <w:rsid w:val="00D64959"/>
    <w:rsid w:val="00D64A4A"/>
    <w:rsid w:val="00D657D5"/>
    <w:rsid w:val="00D7103A"/>
    <w:rsid w:val="00D72522"/>
    <w:rsid w:val="00D73815"/>
    <w:rsid w:val="00D77547"/>
    <w:rsid w:val="00D7768E"/>
    <w:rsid w:val="00D81141"/>
    <w:rsid w:val="00D82E55"/>
    <w:rsid w:val="00D85A41"/>
    <w:rsid w:val="00D87CCB"/>
    <w:rsid w:val="00D93186"/>
    <w:rsid w:val="00D938A1"/>
    <w:rsid w:val="00D93CCE"/>
    <w:rsid w:val="00D949D9"/>
    <w:rsid w:val="00D97368"/>
    <w:rsid w:val="00DA0C68"/>
    <w:rsid w:val="00DA1230"/>
    <w:rsid w:val="00DA3F27"/>
    <w:rsid w:val="00DA41D8"/>
    <w:rsid w:val="00DA4494"/>
    <w:rsid w:val="00DA55B9"/>
    <w:rsid w:val="00DA59B9"/>
    <w:rsid w:val="00DA69D9"/>
    <w:rsid w:val="00DB1F70"/>
    <w:rsid w:val="00DB460D"/>
    <w:rsid w:val="00DB5230"/>
    <w:rsid w:val="00DB69C2"/>
    <w:rsid w:val="00DB6BC1"/>
    <w:rsid w:val="00DC0346"/>
    <w:rsid w:val="00DC6015"/>
    <w:rsid w:val="00DC6250"/>
    <w:rsid w:val="00DC74C6"/>
    <w:rsid w:val="00DC7C78"/>
    <w:rsid w:val="00DD2D7A"/>
    <w:rsid w:val="00DD5A19"/>
    <w:rsid w:val="00DE1AE3"/>
    <w:rsid w:val="00DE65D8"/>
    <w:rsid w:val="00DF1548"/>
    <w:rsid w:val="00DF1822"/>
    <w:rsid w:val="00DF25A1"/>
    <w:rsid w:val="00DF3110"/>
    <w:rsid w:val="00DF402D"/>
    <w:rsid w:val="00DF5117"/>
    <w:rsid w:val="00DF59A4"/>
    <w:rsid w:val="00DF6465"/>
    <w:rsid w:val="00E0209E"/>
    <w:rsid w:val="00E03B0A"/>
    <w:rsid w:val="00E10040"/>
    <w:rsid w:val="00E12ABA"/>
    <w:rsid w:val="00E154DA"/>
    <w:rsid w:val="00E16DB5"/>
    <w:rsid w:val="00E304CC"/>
    <w:rsid w:val="00E3736D"/>
    <w:rsid w:val="00E46471"/>
    <w:rsid w:val="00E510B6"/>
    <w:rsid w:val="00E51324"/>
    <w:rsid w:val="00E54749"/>
    <w:rsid w:val="00E566A5"/>
    <w:rsid w:val="00E6236D"/>
    <w:rsid w:val="00E65230"/>
    <w:rsid w:val="00E71814"/>
    <w:rsid w:val="00E8135D"/>
    <w:rsid w:val="00E851E9"/>
    <w:rsid w:val="00E93EF5"/>
    <w:rsid w:val="00EA09FF"/>
    <w:rsid w:val="00EA0AF1"/>
    <w:rsid w:val="00EA1784"/>
    <w:rsid w:val="00EA2EC5"/>
    <w:rsid w:val="00EA4DEE"/>
    <w:rsid w:val="00EA5F32"/>
    <w:rsid w:val="00EB2F28"/>
    <w:rsid w:val="00EB3460"/>
    <w:rsid w:val="00EB69E5"/>
    <w:rsid w:val="00EC0866"/>
    <w:rsid w:val="00EC0E53"/>
    <w:rsid w:val="00EC38E7"/>
    <w:rsid w:val="00EC482E"/>
    <w:rsid w:val="00EC73EC"/>
    <w:rsid w:val="00ED1B60"/>
    <w:rsid w:val="00ED1E49"/>
    <w:rsid w:val="00ED2577"/>
    <w:rsid w:val="00ED3690"/>
    <w:rsid w:val="00ED489D"/>
    <w:rsid w:val="00ED4E19"/>
    <w:rsid w:val="00ED79FC"/>
    <w:rsid w:val="00EE17C1"/>
    <w:rsid w:val="00EE4303"/>
    <w:rsid w:val="00EE75F7"/>
    <w:rsid w:val="00EE7744"/>
    <w:rsid w:val="00EF03C6"/>
    <w:rsid w:val="00EF2C52"/>
    <w:rsid w:val="00EF2F4B"/>
    <w:rsid w:val="00F00673"/>
    <w:rsid w:val="00F035B1"/>
    <w:rsid w:val="00F07A96"/>
    <w:rsid w:val="00F10995"/>
    <w:rsid w:val="00F115EC"/>
    <w:rsid w:val="00F11B23"/>
    <w:rsid w:val="00F11C70"/>
    <w:rsid w:val="00F12018"/>
    <w:rsid w:val="00F13FCC"/>
    <w:rsid w:val="00F14B32"/>
    <w:rsid w:val="00F16412"/>
    <w:rsid w:val="00F16BC3"/>
    <w:rsid w:val="00F17DEE"/>
    <w:rsid w:val="00F20295"/>
    <w:rsid w:val="00F21B1E"/>
    <w:rsid w:val="00F24ACF"/>
    <w:rsid w:val="00F34C29"/>
    <w:rsid w:val="00F36783"/>
    <w:rsid w:val="00F44C93"/>
    <w:rsid w:val="00F4701C"/>
    <w:rsid w:val="00F47E8B"/>
    <w:rsid w:val="00F554EE"/>
    <w:rsid w:val="00F56311"/>
    <w:rsid w:val="00F6010D"/>
    <w:rsid w:val="00F6140A"/>
    <w:rsid w:val="00F6150A"/>
    <w:rsid w:val="00F61917"/>
    <w:rsid w:val="00F66BFD"/>
    <w:rsid w:val="00F72755"/>
    <w:rsid w:val="00F744AA"/>
    <w:rsid w:val="00F75391"/>
    <w:rsid w:val="00F7651B"/>
    <w:rsid w:val="00F77CD6"/>
    <w:rsid w:val="00F80E49"/>
    <w:rsid w:val="00F8315E"/>
    <w:rsid w:val="00F84599"/>
    <w:rsid w:val="00F8544F"/>
    <w:rsid w:val="00F859B2"/>
    <w:rsid w:val="00F91F38"/>
    <w:rsid w:val="00F93F38"/>
    <w:rsid w:val="00F94F0E"/>
    <w:rsid w:val="00F955E6"/>
    <w:rsid w:val="00FA0756"/>
    <w:rsid w:val="00FA16CF"/>
    <w:rsid w:val="00FA3630"/>
    <w:rsid w:val="00FA49B6"/>
    <w:rsid w:val="00FA6FDD"/>
    <w:rsid w:val="00FA72F1"/>
    <w:rsid w:val="00FB045F"/>
    <w:rsid w:val="00FB0D1E"/>
    <w:rsid w:val="00FB3F07"/>
    <w:rsid w:val="00FB5520"/>
    <w:rsid w:val="00FB5752"/>
    <w:rsid w:val="00FC071E"/>
    <w:rsid w:val="00FE04D9"/>
    <w:rsid w:val="00FE1657"/>
    <w:rsid w:val="00FE1924"/>
    <w:rsid w:val="00FE1E45"/>
    <w:rsid w:val="00FE262F"/>
    <w:rsid w:val="00FE2A50"/>
    <w:rsid w:val="00FE2EFF"/>
    <w:rsid w:val="00FE3D73"/>
    <w:rsid w:val="00FE41AB"/>
    <w:rsid w:val="00FE5140"/>
    <w:rsid w:val="00FF107A"/>
    <w:rsid w:val="00FF28C0"/>
    <w:rsid w:val="00FF28C3"/>
    <w:rsid w:val="00FF34FF"/>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29B99"/>
  <w15:chartTrackingRefBased/>
  <w15:docId w15:val="{C159E7F1-21AE-41CB-9101-369C31B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37"/>
    <w:pPr>
      <w:spacing w:after="0" w:line="240" w:lineRule="auto"/>
      <w:ind w:firstLine="720"/>
    </w:pPr>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6140A"/>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1D652B"/>
    <w:rPr>
      <w:rFonts w:eastAsiaTheme="majorEastAsia"/>
      <w:sz w:val="20"/>
    </w:rPr>
  </w:style>
  <w:style w:type="paragraph" w:styleId="NoSpacing">
    <w:name w:val="No Spacing"/>
    <w:uiPriority w:val="1"/>
    <w:qFormat/>
    <w:rsid w:val="002A42DE"/>
    <w:pPr>
      <w:spacing w:after="0" w:line="240" w:lineRule="auto"/>
    </w:pPr>
  </w:style>
  <w:style w:type="paragraph" w:styleId="ListParagraph">
    <w:name w:val="List Paragraph"/>
    <w:basedOn w:val="Normal"/>
    <w:uiPriority w:val="34"/>
    <w:qFormat/>
    <w:rsid w:val="00411B37"/>
    <w:pPr>
      <w:ind w:left="720"/>
      <w:contextualSpacing/>
    </w:pPr>
  </w:style>
  <w:style w:type="table" w:styleId="TableGrid">
    <w:name w:val="Table Grid"/>
    <w:basedOn w:val="TableNormal"/>
    <w:uiPriority w:val="59"/>
    <w:rsid w:val="00411B37"/>
    <w:pPr>
      <w:spacing w:after="0" w:line="240" w:lineRule="auto"/>
      <w:ind w:firstLine="720"/>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1B37"/>
    <w:pPr>
      <w:tabs>
        <w:tab w:val="center" w:pos="4680"/>
        <w:tab w:val="right" w:pos="9360"/>
      </w:tabs>
    </w:pPr>
  </w:style>
  <w:style w:type="character" w:customStyle="1" w:styleId="FooterChar">
    <w:name w:val="Footer Char"/>
    <w:basedOn w:val="DefaultParagraphFont"/>
    <w:link w:val="Footer"/>
    <w:uiPriority w:val="99"/>
    <w:rsid w:val="00411B37"/>
    <w:rPr>
      <w:rFonts w:cs="Times New Roman"/>
      <w:lang w:bidi="en-US"/>
    </w:rPr>
  </w:style>
  <w:style w:type="paragraph" w:styleId="Header">
    <w:name w:val="header"/>
    <w:basedOn w:val="Normal"/>
    <w:link w:val="HeaderChar"/>
    <w:uiPriority w:val="99"/>
    <w:unhideWhenUsed/>
    <w:rsid w:val="00CB35D8"/>
    <w:pPr>
      <w:tabs>
        <w:tab w:val="center" w:pos="4680"/>
        <w:tab w:val="right" w:pos="9360"/>
      </w:tabs>
    </w:pPr>
  </w:style>
  <w:style w:type="character" w:customStyle="1" w:styleId="HeaderChar">
    <w:name w:val="Header Char"/>
    <w:basedOn w:val="DefaultParagraphFont"/>
    <w:link w:val="Header"/>
    <w:uiPriority w:val="99"/>
    <w:rsid w:val="00CB35D8"/>
    <w:rPr>
      <w:rFonts w:cs="Times New Roman"/>
      <w:lang w:bidi="en-US"/>
    </w:rPr>
  </w:style>
  <w:style w:type="character" w:customStyle="1" w:styleId="DefaultFontHxMailStyle">
    <w:name w:val="Default Font HxMail Style"/>
    <w:basedOn w:val="DefaultParagraphFont"/>
    <w:rsid w:val="00C36FE1"/>
    <w:rPr>
      <w:rFonts w:ascii="Lora" w:hAnsi="Lora" w:hint="default"/>
      <w:b w:val="0"/>
      <w:bCs w:val="0"/>
      <w:i w:val="0"/>
      <w:iCs w:val="0"/>
      <w:strike w:val="0"/>
      <w:dstrike w:val="0"/>
      <w:color w:val="auto"/>
      <w:u w:val="none"/>
      <w:effect w:val="none"/>
    </w:rPr>
  </w:style>
  <w:style w:type="paragraph" w:styleId="NormalWeb">
    <w:name w:val="Normal (Web)"/>
    <w:basedOn w:val="Normal"/>
    <w:uiPriority w:val="99"/>
    <w:unhideWhenUsed/>
    <w:rsid w:val="00371D3D"/>
    <w:pPr>
      <w:spacing w:before="100" w:beforeAutospacing="1" w:after="100" w:afterAutospacing="1"/>
      <w:ind w:firstLine="0"/>
    </w:pPr>
    <w:rPr>
      <w:rFonts w:ascii="Calibri" w:hAnsi="Calibri" w:cs="Calibri"/>
      <w:sz w:val="22"/>
      <w:szCs w:val="22"/>
      <w:lang w:bidi="ar-SA"/>
    </w:rPr>
  </w:style>
  <w:style w:type="character" w:styleId="CommentReference">
    <w:name w:val="annotation reference"/>
    <w:basedOn w:val="DefaultParagraphFont"/>
    <w:uiPriority w:val="99"/>
    <w:semiHidden/>
    <w:unhideWhenUsed/>
    <w:rsid w:val="00F16412"/>
    <w:rPr>
      <w:sz w:val="16"/>
      <w:szCs w:val="16"/>
    </w:rPr>
  </w:style>
  <w:style w:type="paragraph" w:styleId="CommentText">
    <w:name w:val="annotation text"/>
    <w:basedOn w:val="Normal"/>
    <w:link w:val="CommentTextChar"/>
    <w:uiPriority w:val="99"/>
    <w:semiHidden/>
    <w:unhideWhenUsed/>
    <w:rsid w:val="00F16412"/>
    <w:rPr>
      <w:sz w:val="20"/>
      <w:szCs w:val="20"/>
    </w:rPr>
  </w:style>
  <w:style w:type="character" w:customStyle="1" w:styleId="CommentTextChar">
    <w:name w:val="Comment Text Char"/>
    <w:basedOn w:val="DefaultParagraphFont"/>
    <w:link w:val="CommentText"/>
    <w:uiPriority w:val="99"/>
    <w:semiHidden/>
    <w:rsid w:val="00F16412"/>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16412"/>
    <w:rPr>
      <w:b/>
      <w:bCs/>
    </w:rPr>
  </w:style>
  <w:style w:type="character" w:customStyle="1" w:styleId="CommentSubjectChar">
    <w:name w:val="Comment Subject Char"/>
    <w:basedOn w:val="CommentTextChar"/>
    <w:link w:val="CommentSubject"/>
    <w:uiPriority w:val="99"/>
    <w:semiHidden/>
    <w:rsid w:val="00F16412"/>
    <w:rPr>
      <w:rFonts w:cs="Times New Roman"/>
      <w:b/>
      <w:bCs/>
      <w:sz w:val="20"/>
      <w:szCs w:val="20"/>
      <w:lang w:bidi="en-US"/>
    </w:rPr>
  </w:style>
  <w:style w:type="table" w:customStyle="1" w:styleId="TableGrid1">
    <w:name w:val="Table Grid1"/>
    <w:basedOn w:val="TableNormal"/>
    <w:next w:val="TableGrid"/>
    <w:uiPriority w:val="59"/>
    <w:rsid w:val="00E16DB5"/>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pple-converted-space">
    <w:name w:val="gmail-apple-converted-space"/>
    <w:basedOn w:val="DefaultParagraphFont"/>
    <w:rsid w:val="00E51324"/>
  </w:style>
  <w:style w:type="character" w:styleId="Hyperlink">
    <w:name w:val="Hyperlink"/>
    <w:basedOn w:val="DefaultParagraphFont"/>
    <w:uiPriority w:val="99"/>
    <w:unhideWhenUsed/>
    <w:rsid w:val="00C61AB7"/>
    <w:rPr>
      <w:color w:val="0000FF"/>
      <w:u w:val="single"/>
    </w:rPr>
  </w:style>
  <w:style w:type="character" w:styleId="UnresolvedMention">
    <w:name w:val="Unresolved Mention"/>
    <w:basedOn w:val="DefaultParagraphFont"/>
    <w:uiPriority w:val="99"/>
    <w:semiHidden/>
    <w:unhideWhenUsed/>
    <w:rsid w:val="00C61AB7"/>
    <w:rPr>
      <w:color w:val="605E5C"/>
      <w:shd w:val="clear" w:color="auto" w:fill="E1DFDD"/>
    </w:rPr>
  </w:style>
  <w:style w:type="table" w:customStyle="1" w:styleId="TableGrid2">
    <w:name w:val="Table Grid2"/>
    <w:basedOn w:val="TableNormal"/>
    <w:next w:val="TableGrid"/>
    <w:uiPriority w:val="59"/>
    <w:rsid w:val="009644DB"/>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202">
      <w:bodyDiv w:val="1"/>
      <w:marLeft w:val="0"/>
      <w:marRight w:val="0"/>
      <w:marTop w:val="0"/>
      <w:marBottom w:val="0"/>
      <w:divBdr>
        <w:top w:val="none" w:sz="0" w:space="0" w:color="auto"/>
        <w:left w:val="none" w:sz="0" w:space="0" w:color="auto"/>
        <w:bottom w:val="none" w:sz="0" w:space="0" w:color="auto"/>
        <w:right w:val="none" w:sz="0" w:space="0" w:color="auto"/>
      </w:divBdr>
    </w:div>
    <w:div w:id="23139245">
      <w:bodyDiv w:val="1"/>
      <w:marLeft w:val="0"/>
      <w:marRight w:val="0"/>
      <w:marTop w:val="0"/>
      <w:marBottom w:val="0"/>
      <w:divBdr>
        <w:top w:val="none" w:sz="0" w:space="0" w:color="auto"/>
        <w:left w:val="none" w:sz="0" w:space="0" w:color="auto"/>
        <w:bottom w:val="none" w:sz="0" w:space="0" w:color="auto"/>
        <w:right w:val="none" w:sz="0" w:space="0" w:color="auto"/>
      </w:divBdr>
    </w:div>
    <w:div w:id="84809839">
      <w:bodyDiv w:val="1"/>
      <w:marLeft w:val="0"/>
      <w:marRight w:val="0"/>
      <w:marTop w:val="0"/>
      <w:marBottom w:val="0"/>
      <w:divBdr>
        <w:top w:val="none" w:sz="0" w:space="0" w:color="auto"/>
        <w:left w:val="none" w:sz="0" w:space="0" w:color="auto"/>
        <w:bottom w:val="none" w:sz="0" w:space="0" w:color="auto"/>
        <w:right w:val="none" w:sz="0" w:space="0" w:color="auto"/>
      </w:divBdr>
    </w:div>
    <w:div w:id="151797330">
      <w:bodyDiv w:val="1"/>
      <w:marLeft w:val="0"/>
      <w:marRight w:val="0"/>
      <w:marTop w:val="0"/>
      <w:marBottom w:val="0"/>
      <w:divBdr>
        <w:top w:val="none" w:sz="0" w:space="0" w:color="auto"/>
        <w:left w:val="none" w:sz="0" w:space="0" w:color="auto"/>
        <w:bottom w:val="none" w:sz="0" w:space="0" w:color="auto"/>
        <w:right w:val="none" w:sz="0" w:space="0" w:color="auto"/>
      </w:divBdr>
    </w:div>
    <w:div w:id="152919550">
      <w:bodyDiv w:val="1"/>
      <w:marLeft w:val="0"/>
      <w:marRight w:val="0"/>
      <w:marTop w:val="0"/>
      <w:marBottom w:val="0"/>
      <w:divBdr>
        <w:top w:val="none" w:sz="0" w:space="0" w:color="auto"/>
        <w:left w:val="none" w:sz="0" w:space="0" w:color="auto"/>
        <w:bottom w:val="none" w:sz="0" w:space="0" w:color="auto"/>
        <w:right w:val="none" w:sz="0" w:space="0" w:color="auto"/>
      </w:divBdr>
    </w:div>
    <w:div w:id="192622070">
      <w:bodyDiv w:val="1"/>
      <w:marLeft w:val="0"/>
      <w:marRight w:val="0"/>
      <w:marTop w:val="0"/>
      <w:marBottom w:val="0"/>
      <w:divBdr>
        <w:top w:val="none" w:sz="0" w:space="0" w:color="auto"/>
        <w:left w:val="none" w:sz="0" w:space="0" w:color="auto"/>
        <w:bottom w:val="none" w:sz="0" w:space="0" w:color="auto"/>
        <w:right w:val="none" w:sz="0" w:space="0" w:color="auto"/>
      </w:divBdr>
    </w:div>
    <w:div w:id="200285484">
      <w:bodyDiv w:val="1"/>
      <w:marLeft w:val="0"/>
      <w:marRight w:val="0"/>
      <w:marTop w:val="0"/>
      <w:marBottom w:val="0"/>
      <w:divBdr>
        <w:top w:val="none" w:sz="0" w:space="0" w:color="auto"/>
        <w:left w:val="none" w:sz="0" w:space="0" w:color="auto"/>
        <w:bottom w:val="none" w:sz="0" w:space="0" w:color="auto"/>
        <w:right w:val="none" w:sz="0" w:space="0" w:color="auto"/>
      </w:divBdr>
    </w:div>
    <w:div w:id="232391902">
      <w:bodyDiv w:val="1"/>
      <w:marLeft w:val="0"/>
      <w:marRight w:val="0"/>
      <w:marTop w:val="0"/>
      <w:marBottom w:val="0"/>
      <w:divBdr>
        <w:top w:val="none" w:sz="0" w:space="0" w:color="auto"/>
        <w:left w:val="none" w:sz="0" w:space="0" w:color="auto"/>
        <w:bottom w:val="none" w:sz="0" w:space="0" w:color="auto"/>
        <w:right w:val="none" w:sz="0" w:space="0" w:color="auto"/>
      </w:divBdr>
    </w:div>
    <w:div w:id="235212776">
      <w:bodyDiv w:val="1"/>
      <w:marLeft w:val="0"/>
      <w:marRight w:val="0"/>
      <w:marTop w:val="0"/>
      <w:marBottom w:val="0"/>
      <w:divBdr>
        <w:top w:val="none" w:sz="0" w:space="0" w:color="auto"/>
        <w:left w:val="none" w:sz="0" w:space="0" w:color="auto"/>
        <w:bottom w:val="none" w:sz="0" w:space="0" w:color="auto"/>
        <w:right w:val="none" w:sz="0" w:space="0" w:color="auto"/>
      </w:divBdr>
    </w:div>
    <w:div w:id="239172486">
      <w:bodyDiv w:val="1"/>
      <w:marLeft w:val="0"/>
      <w:marRight w:val="0"/>
      <w:marTop w:val="0"/>
      <w:marBottom w:val="0"/>
      <w:divBdr>
        <w:top w:val="none" w:sz="0" w:space="0" w:color="auto"/>
        <w:left w:val="none" w:sz="0" w:space="0" w:color="auto"/>
        <w:bottom w:val="none" w:sz="0" w:space="0" w:color="auto"/>
        <w:right w:val="none" w:sz="0" w:space="0" w:color="auto"/>
      </w:divBdr>
    </w:div>
    <w:div w:id="259340178">
      <w:bodyDiv w:val="1"/>
      <w:marLeft w:val="0"/>
      <w:marRight w:val="0"/>
      <w:marTop w:val="0"/>
      <w:marBottom w:val="0"/>
      <w:divBdr>
        <w:top w:val="none" w:sz="0" w:space="0" w:color="auto"/>
        <w:left w:val="none" w:sz="0" w:space="0" w:color="auto"/>
        <w:bottom w:val="none" w:sz="0" w:space="0" w:color="auto"/>
        <w:right w:val="none" w:sz="0" w:space="0" w:color="auto"/>
      </w:divBdr>
      <w:divsChild>
        <w:div w:id="2107728386">
          <w:marLeft w:val="0"/>
          <w:marRight w:val="0"/>
          <w:marTop w:val="0"/>
          <w:marBottom w:val="0"/>
          <w:divBdr>
            <w:top w:val="none" w:sz="0" w:space="0" w:color="auto"/>
            <w:left w:val="none" w:sz="0" w:space="0" w:color="auto"/>
            <w:bottom w:val="none" w:sz="0" w:space="0" w:color="auto"/>
            <w:right w:val="none" w:sz="0" w:space="0" w:color="auto"/>
          </w:divBdr>
          <w:divsChild>
            <w:div w:id="1580483047">
              <w:marLeft w:val="0"/>
              <w:marRight w:val="0"/>
              <w:marTop w:val="0"/>
              <w:marBottom w:val="0"/>
              <w:divBdr>
                <w:top w:val="none" w:sz="0" w:space="0" w:color="auto"/>
                <w:left w:val="none" w:sz="0" w:space="0" w:color="auto"/>
                <w:bottom w:val="none" w:sz="0" w:space="0" w:color="auto"/>
                <w:right w:val="none" w:sz="0" w:space="0" w:color="auto"/>
              </w:divBdr>
            </w:div>
            <w:div w:id="1447042654">
              <w:marLeft w:val="0"/>
              <w:marRight w:val="0"/>
              <w:marTop w:val="0"/>
              <w:marBottom w:val="0"/>
              <w:divBdr>
                <w:top w:val="none" w:sz="0" w:space="0" w:color="auto"/>
                <w:left w:val="none" w:sz="0" w:space="0" w:color="auto"/>
                <w:bottom w:val="none" w:sz="0" w:space="0" w:color="auto"/>
                <w:right w:val="none" w:sz="0" w:space="0" w:color="auto"/>
              </w:divBdr>
            </w:div>
            <w:div w:id="21464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79798">
      <w:bodyDiv w:val="1"/>
      <w:marLeft w:val="0"/>
      <w:marRight w:val="0"/>
      <w:marTop w:val="0"/>
      <w:marBottom w:val="0"/>
      <w:divBdr>
        <w:top w:val="none" w:sz="0" w:space="0" w:color="auto"/>
        <w:left w:val="none" w:sz="0" w:space="0" w:color="auto"/>
        <w:bottom w:val="none" w:sz="0" w:space="0" w:color="auto"/>
        <w:right w:val="none" w:sz="0" w:space="0" w:color="auto"/>
      </w:divBdr>
    </w:div>
    <w:div w:id="343166456">
      <w:bodyDiv w:val="1"/>
      <w:marLeft w:val="0"/>
      <w:marRight w:val="0"/>
      <w:marTop w:val="0"/>
      <w:marBottom w:val="0"/>
      <w:divBdr>
        <w:top w:val="none" w:sz="0" w:space="0" w:color="auto"/>
        <w:left w:val="none" w:sz="0" w:space="0" w:color="auto"/>
        <w:bottom w:val="none" w:sz="0" w:space="0" w:color="auto"/>
        <w:right w:val="none" w:sz="0" w:space="0" w:color="auto"/>
      </w:divBdr>
    </w:div>
    <w:div w:id="347366509">
      <w:bodyDiv w:val="1"/>
      <w:marLeft w:val="0"/>
      <w:marRight w:val="0"/>
      <w:marTop w:val="0"/>
      <w:marBottom w:val="0"/>
      <w:divBdr>
        <w:top w:val="none" w:sz="0" w:space="0" w:color="auto"/>
        <w:left w:val="none" w:sz="0" w:space="0" w:color="auto"/>
        <w:bottom w:val="none" w:sz="0" w:space="0" w:color="auto"/>
        <w:right w:val="none" w:sz="0" w:space="0" w:color="auto"/>
      </w:divBdr>
    </w:div>
    <w:div w:id="372966321">
      <w:bodyDiv w:val="1"/>
      <w:marLeft w:val="0"/>
      <w:marRight w:val="0"/>
      <w:marTop w:val="0"/>
      <w:marBottom w:val="0"/>
      <w:divBdr>
        <w:top w:val="none" w:sz="0" w:space="0" w:color="auto"/>
        <w:left w:val="none" w:sz="0" w:space="0" w:color="auto"/>
        <w:bottom w:val="none" w:sz="0" w:space="0" w:color="auto"/>
        <w:right w:val="none" w:sz="0" w:space="0" w:color="auto"/>
      </w:divBdr>
    </w:div>
    <w:div w:id="378671336">
      <w:bodyDiv w:val="1"/>
      <w:marLeft w:val="0"/>
      <w:marRight w:val="0"/>
      <w:marTop w:val="0"/>
      <w:marBottom w:val="0"/>
      <w:divBdr>
        <w:top w:val="none" w:sz="0" w:space="0" w:color="auto"/>
        <w:left w:val="none" w:sz="0" w:space="0" w:color="auto"/>
        <w:bottom w:val="none" w:sz="0" w:space="0" w:color="auto"/>
        <w:right w:val="none" w:sz="0" w:space="0" w:color="auto"/>
      </w:divBdr>
      <w:divsChild>
        <w:div w:id="293027446">
          <w:marLeft w:val="0"/>
          <w:marRight w:val="0"/>
          <w:marTop w:val="0"/>
          <w:marBottom w:val="0"/>
          <w:divBdr>
            <w:top w:val="none" w:sz="0" w:space="0" w:color="auto"/>
            <w:left w:val="none" w:sz="0" w:space="0" w:color="auto"/>
            <w:bottom w:val="none" w:sz="0" w:space="0" w:color="auto"/>
            <w:right w:val="none" w:sz="0" w:space="0" w:color="auto"/>
          </w:divBdr>
        </w:div>
        <w:div w:id="1021510426">
          <w:marLeft w:val="0"/>
          <w:marRight w:val="0"/>
          <w:marTop w:val="0"/>
          <w:marBottom w:val="0"/>
          <w:divBdr>
            <w:top w:val="none" w:sz="0" w:space="0" w:color="auto"/>
            <w:left w:val="none" w:sz="0" w:space="0" w:color="auto"/>
            <w:bottom w:val="none" w:sz="0" w:space="0" w:color="auto"/>
            <w:right w:val="none" w:sz="0" w:space="0" w:color="auto"/>
          </w:divBdr>
        </w:div>
      </w:divsChild>
    </w:div>
    <w:div w:id="386077254">
      <w:bodyDiv w:val="1"/>
      <w:marLeft w:val="0"/>
      <w:marRight w:val="0"/>
      <w:marTop w:val="0"/>
      <w:marBottom w:val="0"/>
      <w:divBdr>
        <w:top w:val="none" w:sz="0" w:space="0" w:color="auto"/>
        <w:left w:val="none" w:sz="0" w:space="0" w:color="auto"/>
        <w:bottom w:val="none" w:sz="0" w:space="0" w:color="auto"/>
        <w:right w:val="none" w:sz="0" w:space="0" w:color="auto"/>
      </w:divBdr>
    </w:div>
    <w:div w:id="395279602">
      <w:bodyDiv w:val="1"/>
      <w:marLeft w:val="0"/>
      <w:marRight w:val="0"/>
      <w:marTop w:val="0"/>
      <w:marBottom w:val="0"/>
      <w:divBdr>
        <w:top w:val="none" w:sz="0" w:space="0" w:color="auto"/>
        <w:left w:val="none" w:sz="0" w:space="0" w:color="auto"/>
        <w:bottom w:val="none" w:sz="0" w:space="0" w:color="auto"/>
        <w:right w:val="none" w:sz="0" w:space="0" w:color="auto"/>
      </w:divBdr>
    </w:div>
    <w:div w:id="410810358">
      <w:bodyDiv w:val="1"/>
      <w:marLeft w:val="0"/>
      <w:marRight w:val="0"/>
      <w:marTop w:val="0"/>
      <w:marBottom w:val="0"/>
      <w:divBdr>
        <w:top w:val="none" w:sz="0" w:space="0" w:color="auto"/>
        <w:left w:val="none" w:sz="0" w:space="0" w:color="auto"/>
        <w:bottom w:val="none" w:sz="0" w:space="0" w:color="auto"/>
        <w:right w:val="none" w:sz="0" w:space="0" w:color="auto"/>
      </w:divBdr>
      <w:divsChild>
        <w:div w:id="1904637006">
          <w:marLeft w:val="0"/>
          <w:marRight w:val="0"/>
          <w:marTop w:val="0"/>
          <w:marBottom w:val="0"/>
          <w:divBdr>
            <w:top w:val="none" w:sz="0" w:space="0" w:color="auto"/>
            <w:left w:val="none" w:sz="0" w:space="0" w:color="auto"/>
            <w:bottom w:val="none" w:sz="0" w:space="0" w:color="auto"/>
            <w:right w:val="none" w:sz="0" w:space="0" w:color="auto"/>
          </w:divBdr>
        </w:div>
        <w:div w:id="259534205">
          <w:marLeft w:val="0"/>
          <w:marRight w:val="0"/>
          <w:marTop w:val="0"/>
          <w:marBottom w:val="0"/>
          <w:divBdr>
            <w:top w:val="none" w:sz="0" w:space="0" w:color="auto"/>
            <w:left w:val="none" w:sz="0" w:space="0" w:color="auto"/>
            <w:bottom w:val="none" w:sz="0" w:space="0" w:color="auto"/>
            <w:right w:val="none" w:sz="0" w:space="0" w:color="auto"/>
          </w:divBdr>
        </w:div>
      </w:divsChild>
    </w:div>
    <w:div w:id="417143980">
      <w:bodyDiv w:val="1"/>
      <w:marLeft w:val="0"/>
      <w:marRight w:val="0"/>
      <w:marTop w:val="0"/>
      <w:marBottom w:val="0"/>
      <w:divBdr>
        <w:top w:val="none" w:sz="0" w:space="0" w:color="auto"/>
        <w:left w:val="none" w:sz="0" w:space="0" w:color="auto"/>
        <w:bottom w:val="none" w:sz="0" w:space="0" w:color="auto"/>
        <w:right w:val="none" w:sz="0" w:space="0" w:color="auto"/>
      </w:divBdr>
    </w:div>
    <w:div w:id="438838091">
      <w:bodyDiv w:val="1"/>
      <w:marLeft w:val="0"/>
      <w:marRight w:val="0"/>
      <w:marTop w:val="0"/>
      <w:marBottom w:val="0"/>
      <w:divBdr>
        <w:top w:val="none" w:sz="0" w:space="0" w:color="auto"/>
        <w:left w:val="none" w:sz="0" w:space="0" w:color="auto"/>
        <w:bottom w:val="none" w:sz="0" w:space="0" w:color="auto"/>
        <w:right w:val="none" w:sz="0" w:space="0" w:color="auto"/>
      </w:divBdr>
    </w:div>
    <w:div w:id="460272696">
      <w:bodyDiv w:val="1"/>
      <w:marLeft w:val="0"/>
      <w:marRight w:val="0"/>
      <w:marTop w:val="0"/>
      <w:marBottom w:val="0"/>
      <w:divBdr>
        <w:top w:val="none" w:sz="0" w:space="0" w:color="auto"/>
        <w:left w:val="none" w:sz="0" w:space="0" w:color="auto"/>
        <w:bottom w:val="none" w:sz="0" w:space="0" w:color="auto"/>
        <w:right w:val="none" w:sz="0" w:space="0" w:color="auto"/>
      </w:divBdr>
    </w:div>
    <w:div w:id="463888744">
      <w:bodyDiv w:val="1"/>
      <w:marLeft w:val="0"/>
      <w:marRight w:val="0"/>
      <w:marTop w:val="0"/>
      <w:marBottom w:val="0"/>
      <w:divBdr>
        <w:top w:val="none" w:sz="0" w:space="0" w:color="auto"/>
        <w:left w:val="none" w:sz="0" w:space="0" w:color="auto"/>
        <w:bottom w:val="none" w:sz="0" w:space="0" w:color="auto"/>
        <w:right w:val="none" w:sz="0" w:space="0" w:color="auto"/>
      </w:divBdr>
    </w:div>
    <w:div w:id="465050734">
      <w:bodyDiv w:val="1"/>
      <w:marLeft w:val="0"/>
      <w:marRight w:val="0"/>
      <w:marTop w:val="0"/>
      <w:marBottom w:val="0"/>
      <w:divBdr>
        <w:top w:val="none" w:sz="0" w:space="0" w:color="auto"/>
        <w:left w:val="none" w:sz="0" w:space="0" w:color="auto"/>
        <w:bottom w:val="none" w:sz="0" w:space="0" w:color="auto"/>
        <w:right w:val="none" w:sz="0" w:space="0" w:color="auto"/>
      </w:divBdr>
    </w:div>
    <w:div w:id="466361135">
      <w:bodyDiv w:val="1"/>
      <w:marLeft w:val="0"/>
      <w:marRight w:val="0"/>
      <w:marTop w:val="0"/>
      <w:marBottom w:val="0"/>
      <w:divBdr>
        <w:top w:val="none" w:sz="0" w:space="0" w:color="auto"/>
        <w:left w:val="none" w:sz="0" w:space="0" w:color="auto"/>
        <w:bottom w:val="none" w:sz="0" w:space="0" w:color="auto"/>
        <w:right w:val="none" w:sz="0" w:space="0" w:color="auto"/>
      </w:divBdr>
    </w:div>
    <w:div w:id="485049368">
      <w:bodyDiv w:val="1"/>
      <w:marLeft w:val="0"/>
      <w:marRight w:val="0"/>
      <w:marTop w:val="0"/>
      <w:marBottom w:val="0"/>
      <w:divBdr>
        <w:top w:val="none" w:sz="0" w:space="0" w:color="auto"/>
        <w:left w:val="none" w:sz="0" w:space="0" w:color="auto"/>
        <w:bottom w:val="none" w:sz="0" w:space="0" w:color="auto"/>
        <w:right w:val="none" w:sz="0" w:space="0" w:color="auto"/>
      </w:divBdr>
    </w:div>
    <w:div w:id="504588082">
      <w:bodyDiv w:val="1"/>
      <w:marLeft w:val="0"/>
      <w:marRight w:val="0"/>
      <w:marTop w:val="0"/>
      <w:marBottom w:val="0"/>
      <w:divBdr>
        <w:top w:val="none" w:sz="0" w:space="0" w:color="auto"/>
        <w:left w:val="none" w:sz="0" w:space="0" w:color="auto"/>
        <w:bottom w:val="none" w:sz="0" w:space="0" w:color="auto"/>
        <w:right w:val="none" w:sz="0" w:space="0" w:color="auto"/>
      </w:divBdr>
      <w:divsChild>
        <w:div w:id="1544367956">
          <w:marLeft w:val="0"/>
          <w:marRight w:val="0"/>
          <w:marTop w:val="0"/>
          <w:marBottom w:val="0"/>
          <w:divBdr>
            <w:top w:val="none" w:sz="0" w:space="0" w:color="auto"/>
            <w:left w:val="none" w:sz="0" w:space="0" w:color="auto"/>
            <w:bottom w:val="none" w:sz="0" w:space="0" w:color="auto"/>
            <w:right w:val="none" w:sz="0" w:space="0" w:color="auto"/>
          </w:divBdr>
        </w:div>
        <w:div w:id="804396513">
          <w:marLeft w:val="0"/>
          <w:marRight w:val="0"/>
          <w:marTop w:val="0"/>
          <w:marBottom w:val="0"/>
          <w:divBdr>
            <w:top w:val="none" w:sz="0" w:space="0" w:color="auto"/>
            <w:left w:val="none" w:sz="0" w:space="0" w:color="auto"/>
            <w:bottom w:val="none" w:sz="0" w:space="0" w:color="auto"/>
            <w:right w:val="none" w:sz="0" w:space="0" w:color="auto"/>
          </w:divBdr>
        </w:div>
        <w:div w:id="1405684387">
          <w:marLeft w:val="0"/>
          <w:marRight w:val="0"/>
          <w:marTop w:val="0"/>
          <w:marBottom w:val="0"/>
          <w:divBdr>
            <w:top w:val="none" w:sz="0" w:space="0" w:color="auto"/>
            <w:left w:val="none" w:sz="0" w:space="0" w:color="auto"/>
            <w:bottom w:val="none" w:sz="0" w:space="0" w:color="auto"/>
            <w:right w:val="none" w:sz="0" w:space="0" w:color="auto"/>
          </w:divBdr>
        </w:div>
      </w:divsChild>
    </w:div>
    <w:div w:id="525022079">
      <w:bodyDiv w:val="1"/>
      <w:marLeft w:val="0"/>
      <w:marRight w:val="0"/>
      <w:marTop w:val="0"/>
      <w:marBottom w:val="0"/>
      <w:divBdr>
        <w:top w:val="none" w:sz="0" w:space="0" w:color="auto"/>
        <w:left w:val="none" w:sz="0" w:space="0" w:color="auto"/>
        <w:bottom w:val="none" w:sz="0" w:space="0" w:color="auto"/>
        <w:right w:val="none" w:sz="0" w:space="0" w:color="auto"/>
      </w:divBdr>
    </w:div>
    <w:div w:id="537206379">
      <w:bodyDiv w:val="1"/>
      <w:marLeft w:val="0"/>
      <w:marRight w:val="0"/>
      <w:marTop w:val="0"/>
      <w:marBottom w:val="0"/>
      <w:divBdr>
        <w:top w:val="none" w:sz="0" w:space="0" w:color="auto"/>
        <w:left w:val="none" w:sz="0" w:space="0" w:color="auto"/>
        <w:bottom w:val="none" w:sz="0" w:space="0" w:color="auto"/>
        <w:right w:val="none" w:sz="0" w:space="0" w:color="auto"/>
      </w:divBdr>
    </w:div>
    <w:div w:id="539628315">
      <w:bodyDiv w:val="1"/>
      <w:marLeft w:val="0"/>
      <w:marRight w:val="0"/>
      <w:marTop w:val="0"/>
      <w:marBottom w:val="0"/>
      <w:divBdr>
        <w:top w:val="none" w:sz="0" w:space="0" w:color="auto"/>
        <w:left w:val="none" w:sz="0" w:space="0" w:color="auto"/>
        <w:bottom w:val="none" w:sz="0" w:space="0" w:color="auto"/>
        <w:right w:val="none" w:sz="0" w:space="0" w:color="auto"/>
      </w:divBdr>
    </w:div>
    <w:div w:id="554394580">
      <w:bodyDiv w:val="1"/>
      <w:marLeft w:val="0"/>
      <w:marRight w:val="0"/>
      <w:marTop w:val="0"/>
      <w:marBottom w:val="0"/>
      <w:divBdr>
        <w:top w:val="none" w:sz="0" w:space="0" w:color="auto"/>
        <w:left w:val="none" w:sz="0" w:space="0" w:color="auto"/>
        <w:bottom w:val="none" w:sz="0" w:space="0" w:color="auto"/>
        <w:right w:val="none" w:sz="0" w:space="0" w:color="auto"/>
      </w:divBdr>
    </w:div>
    <w:div w:id="645011562">
      <w:bodyDiv w:val="1"/>
      <w:marLeft w:val="0"/>
      <w:marRight w:val="0"/>
      <w:marTop w:val="0"/>
      <w:marBottom w:val="0"/>
      <w:divBdr>
        <w:top w:val="none" w:sz="0" w:space="0" w:color="auto"/>
        <w:left w:val="none" w:sz="0" w:space="0" w:color="auto"/>
        <w:bottom w:val="none" w:sz="0" w:space="0" w:color="auto"/>
        <w:right w:val="none" w:sz="0" w:space="0" w:color="auto"/>
      </w:divBdr>
    </w:div>
    <w:div w:id="694773003">
      <w:bodyDiv w:val="1"/>
      <w:marLeft w:val="0"/>
      <w:marRight w:val="0"/>
      <w:marTop w:val="0"/>
      <w:marBottom w:val="0"/>
      <w:divBdr>
        <w:top w:val="none" w:sz="0" w:space="0" w:color="auto"/>
        <w:left w:val="none" w:sz="0" w:space="0" w:color="auto"/>
        <w:bottom w:val="none" w:sz="0" w:space="0" w:color="auto"/>
        <w:right w:val="none" w:sz="0" w:space="0" w:color="auto"/>
      </w:divBdr>
    </w:div>
    <w:div w:id="720249219">
      <w:bodyDiv w:val="1"/>
      <w:marLeft w:val="0"/>
      <w:marRight w:val="0"/>
      <w:marTop w:val="0"/>
      <w:marBottom w:val="0"/>
      <w:divBdr>
        <w:top w:val="none" w:sz="0" w:space="0" w:color="auto"/>
        <w:left w:val="none" w:sz="0" w:space="0" w:color="auto"/>
        <w:bottom w:val="none" w:sz="0" w:space="0" w:color="auto"/>
        <w:right w:val="none" w:sz="0" w:space="0" w:color="auto"/>
      </w:divBdr>
    </w:div>
    <w:div w:id="722869997">
      <w:bodyDiv w:val="1"/>
      <w:marLeft w:val="0"/>
      <w:marRight w:val="0"/>
      <w:marTop w:val="0"/>
      <w:marBottom w:val="0"/>
      <w:divBdr>
        <w:top w:val="none" w:sz="0" w:space="0" w:color="auto"/>
        <w:left w:val="none" w:sz="0" w:space="0" w:color="auto"/>
        <w:bottom w:val="none" w:sz="0" w:space="0" w:color="auto"/>
        <w:right w:val="none" w:sz="0" w:space="0" w:color="auto"/>
      </w:divBdr>
    </w:div>
    <w:div w:id="744767305">
      <w:bodyDiv w:val="1"/>
      <w:marLeft w:val="0"/>
      <w:marRight w:val="0"/>
      <w:marTop w:val="0"/>
      <w:marBottom w:val="0"/>
      <w:divBdr>
        <w:top w:val="none" w:sz="0" w:space="0" w:color="auto"/>
        <w:left w:val="none" w:sz="0" w:space="0" w:color="auto"/>
        <w:bottom w:val="none" w:sz="0" w:space="0" w:color="auto"/>
        <w:right w:val="none" w:sz="0" w:space="0" w:color="auto"/>
      </w:divBdr>
    </w:div>
    <w:div w:id="755636036">
      <w:bodyDiv w:val="1"/>
      <w:marLeft w:val="0"/>
      <w:marRight w:val="0"/>
      <w:marTop w:val="0"/>
      <w:marBottom w:val="0"/>
      <w:divBdr>
        <w:top w:val="none" w:sz="0" w:space="0" w:color="auto"/>
        <w:left w:val="none" w:sz="0" w:space="0" w:color="auto"/>
        <w:bottom w:val="none" w:sz="0" w:space="0" w:color="auto"/>
        <w:right w:val="none" w:sz="0" w:space="0" w:color="auto"/>
      </w:divBdr>
    </w:div>
    <w:div w:id="779955894">
      <w:bodyDiv w:val="1"/>
      <w:marLeft w:val="0"/>
      <w:marRight w:val="0"/>
      <w:marTop w:val="0"/>
      <w:marBottom w:val="0"/>
      <w:divBdr>
        <w:top w:val="none" w:sz="0" w:space="0" w:color="auto"/>
        <w:left w:val="none" w:sz="0" w:space="0" w:color="auto"/>
        <w:bottom w:val="none" w:sz="0" w:space="0" w:color="auto"/>
        <w:right w:val="none" w:sz="0" w:space="0" w:color="auto"/>
      </w:divBdr>
    </w:div>
    <w:div w:id="794328702">
      <w:bodyDiv w:val="1"/>
      <w:marLeft w:val="0"/>
      <w:marRight w:val="0"/>
      <w:marTop w:val="0"/>
      <w:marBottom w:val="0"/>
      <w:divBdr>
        <w:top w:val="none" w:sz="0" w:space="0" w:color="auto"/>
        <w:left w:val="none" w:sz="0" w:space="0" w:color="auto"/>
        <w:bottom w:val="none" w:sz="0" w:space="0" w:color="auto"/>
        <w:right w:val="none" w:sz="0" w:space="0" w:color="auto"/>
      </w:divBdr>
    </w:div>
    <w:div w:id="830025061">
      <w:bodyDiv w:val="1"/>
      <w:marLeft w:val="0"/>
      <w:marRight w:val="0"/>
      <w:marTop w:val="0"/>
      <w:marBottom w:val="0"/>
      <w:divBdr>
        <w:top w:val="none" w:sz="0" w:space="0" w:color="auto"/>
        <w:left w:val="none" w:sz="0" w:space="0" w:color="auto"/>
        <w:bottom w:val="none" w:sz="0" w:space="0" w:color="auto"/>
        <w:right w:val="none" w:sz="0" w:space="0" w:color="auto"/>
      </w:divBdr>
    </w:div>
    <w:div w:id="835148725">
      <w:bodyDiv w:val="1"/>
      <w:marLeft w:val="0"/>
      <w:marRight w:val="0"/>
      <w:marTop w:val="0"/>
      <w:marBottom w:val="0"/>
      <w:divBdr>
        <w:top w:val="none" w:sz="0" w:space="0" w:color="auto"/>
        <w:left w:val="none" w:sz="0" w:space="0" w:color="auto"/>
        <w:bottom w:val="none" w:sz="0" w:space="0" w:color="auto"/>
        <w:right w:val="none" w:sz="0" w:space="0" w:color="auto"/>
      </w:divBdr>
    </w:div>
    <w:div w:id="853229085">
      <w:bodyDiv w:val="1"/>
      <w:marLeft w:val="0"/>
      <w:marRight w:val="0"/>
      <w:marTop w:val="0"/>
      <w:marBottom w:val="0"/>
      <w:divBdr>
        <w:top w:val="none" w:sz="0" w:space="0" w:color="auto"/>
        <w:left w:val="none" w:sz="0" w:space="0" w:color="auto"/>
        <w:bottom w:val="none" w:sz="0" w:space="0" w:color="auto"/>
        <w:right w:val="none" w:sz="0" w:space="0" w:color="auto"/>
      </w:divBdr>
    </w:div>
    <w:div w:id="858738515">
      <w:bodyDiv w:val="1"/>
      <w:marLeft w:val="0"/>
      <w:marRight w:val="0"/>
      <w:marTop w:val="0"/>
      <w:marBottom w:val="0"/>
      <w:divBdr>
        <w:top w:val="none" w:sz="0" w:space="0" w:color="auto"/>
        <w:left w:val="none" w:sz="0" w:space="0" w:color="auto"/>
        <w:bottom w:val="none" w:sz="0" w:space="0" w:color="auto"/>
        <w:right w:val="none" w:sz="0" w:space="0" w:color="auto"/>
      </w:divBdr>
    </w:div>
    <w:div w:id="890380879">
      <w:bodyDiv w:val="1"/>
      <w:marLeft w:val="0"/>
      <w:marRight w:val="0"/>
      <w:marTop w:val="0"/>
      <w:marBottom w:val="0"/>
      <w:divBdr>
        <w:top w:val="none" w:sz="0" w:space="0" w:color="auto"/>
        <w:left w:val="none" w:sz="0" w:space="0" w:color="auto"/>
        <w:bottom w:val="none" w:sz="0" w:space="0" w:color="auto"/>
        <w:right w:val="none" w:sz="0" w:space="0" w:color="auto"/>
      </w:divBdr>
    </w:div>
    <w:div w:id="895244622">
      <w:bodyDiv w:val="1"/>
      <w:marLeft w:val="0"/>
      <w:marRight w:val="0"/>
      <w:marTop w:val="0"/>
      <w:marBottom w:val="0"/>
      <w:divBdr>
        <w:top w:val="none" w:sz="0" w:space="0" w:color="auto"/>
        <w:left w:val="none" w:sz="0" w:space="0" w:color="auto"/>
        <w:bottom w:val="none" w:sz="0" w:space="0" w:color="auto"/>
        <w:right w:val="none" w:sz="0" w:space="0" w:color="auto"/>
      </w:divBdr>
    </w:div>
    <w:div w:id="899756199">
      <w:bodyDiv w:val="1"/>
      <w:marLeft w:val="0"/>
      <w:marRight w:val="0"/>
      <w:marTop w:val="0"/>
      <w:marBottom w:val="0"/>
      <w:divBdr>
        <w:top w:val="none" w:sz="0" w:space="0" w:color="auto"/>
        <w:left w:val="none" w:sz="0" w:space="0" w:color="auto"/>
        <w:bottom w:val="none" w:sz="0" w:space="0" w:color="auto"/>
        <w:right w:val="none" w:sz="0" w:space="0" w:color="auto"/>
      </w:divBdr>
    </w:div>
    <w:div w:id="965622145">
      <w:bodyDiv w:val="1"/>
      <w:marLeft w:val="0"/>
      <w:marRight w:val="0"/>
      <w:marTop w:val="0"/>
      <w:marBottom w:val="0"/>
      <w:divBdr>
        <w:top w:val="none" w:sz="0" w:space="0" w:color="auto"/>
        <w:left w:val="none" w:sz="0" w:space="0" w:color="auto"/>
        <w:bottom w:val="none" w:sz="0" w:space="0" w:color="auto"/>
        <w:right w:val="none" w:sz="0" w:space="0" w:color="auto"/>
      </w:divBdr>
    </w:div>
    <w:div w:id="1020552126">
      <w:bodyDiv w:val="1"/>
      <w:marLeft w:val="0"/>
      <w:marRight w:val="0"/>
      <w:marTop w:val="0"/>
      <w:marBottom w:val="0"/>
      <w:divBdr>
        <w:top w:val="none" w:sz="0" w:space="0" w:color="auto"/>
        <w:left w:val="none" w:sz="0" w:space="0" w:color="auto"/>
        <w:bottom w:val="none" w:sz="0" w:space="0" w:color="auto"/>
        <w:right w:val="none" w:sz="0" w:space="0" w:color="auto"/>
      </w:divBdr>
    </w:div>
    <w:div w:id="1090546635">
      <w:bodyDiv w:val="1"/>
      <w:marLeft w:val="0"/>
      <w:marRight w:val="0"/>
      <w:marTop w:val="0"/>
      <w:marBottom w:val="0"/>
      <w:divBdr>
        <w:top w:val="none" w:sz="0" w:space="0" w:color="auto"/>
        <w:left w:val="none" w:sz="0" w:space="0" w:color="auto"/>
        <w:bottom w:val="none" w:sz="0" w:space="0" w:color="auto"/>
        <w:right w:val="none" w:sz="0" w:space="0" w:color="auto"/>
      </w:divBdr>
    </w:div>
    <w:div w:id="1160921077">
      <w:bodyDiv w:val="1"/>
      <w:marLeft w:val="0"/>
      <w:marRight w:val="0"/>
      <w:marTop w:val="0"/>
      <w:marBottom w:val="0"/>
      <w:divBdr>
        <w:top w:val="none" w:sz="0" w:space="0" w:color="auto"/>
        <w:left w:val="none" w:sz="0" w:space="0" w:color="auto"/>
        <w:bottom w:val="none" w:sz="0" w:space="0" w:color="auto"/>
        <w:right w:val="none" w:sz="0" w:space="0" w:color="auto"/>
      </w:divBdr>
      <w:divsChild>
        <w:div w:id="1823230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876273">
              <w:marLeft w:val="0"/>
              <w:marRight w:val="0"/>
              <w:marTop w:val="0"/>
              <w:marBottom w:val="0"/>
              <w:divBdr>
                <w:top w:val="none" w:sz="0" w:space="0" w:color="auto"/>
                <w:left w:val="none" w:sz="0" w:space="0" w:color="auto"/>
                <w:bottom w:val="none" w:sz="0" w:space="0" w:color="auto"/>
                <w:right w:val="none" w:sz="0" w:space="0" w:color="auto"/>
              </w:divBdr>
              <w:divsChild>
                <w:div w:id="19643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7807">
      <w:bodyDiv w:val="1"/>
      <w:marLeft w:val="0"/>
      <w:marRight w:val="0"/>
      <w:marTop w:val="0"/>
      <w:marBottom w:val="0"/>
      <w:divBdr>
        <w:top w:val="none" w:sz="0" w:space="0" w:color="auto"/>
        <w:left w:val="none" w:sz="0" w:space="0" w:color="auto"/>
        <w:bottom w:val="none" w:sz="0" w:space="0" w:color="auto"/>
        <w:right w:val="none" w:sz="0" w:space="0" w:color="auto"/>
      </w:divBdr>
    </w:div>
    <w:div w:id="1236553156">
      <w:bodyDiv w:val="1"/>
      <w:marLeft w:val="0"/>
      <w:marRight w:val="0"/>
      <w:marTop w:val="0"/>
      <w:marBottom w:val="0"/>
      <w:divBdr>
        <w:top w:val="none" w:sz="0" w:space="0" w:color="auto"/>
        <w:left w:val="none" w:sz="0" w:space="0" w:color="auto"/>
        <w:bottom w:val="none" w:sz="0" w:space="0" w:color="auto"/>
        <w:right w:val="none" w:sz="0" w:space="0" w:color="auto"/>
      </w:divBdr>
    </w:div>
    <w:div w:id="1245384616">
      <w:bodyDiv w:val="1"/>
      <w:marLeft w:val="0"/>
      <w:marRight w:val="0"/>
      <w:marTop w:val="0"/>
      <w:marBottom w:val="0"/>
      <w:divBdr>
        <w:top w:val="none" w:sz="0" w:space="0" w:color="auto"/>
        <w:left w:val="none" w:sz="0" w:space="0" w:color="auto"/>
        <w:bottom w:val="none" w:sz="0" w:space="0" w:color="auto"/>
        <w:right w:val="none" w:sz="0" w:space="0" w:color="auto"/>
      </w:divBdr>
    </w:div>
    <w:div w:id="1297178588">
      <w:bodyDiv w:val="1"/>
      <w:marLeft w:val="0"/>
      <w:marRight w:val="0"/>
      <w:marTop w:val="0"/>
      <w:marBottom w:val="0"/>
      <w:divBdr>
        <w:top w:val="none" w:sz="0" w:space="0" w:color="auto"/>
        <w:left w:val="none" w:sz="0" w:space="0" w:color="auto"/>
        <w:bottom w:val="none" w:sz="0" w:space="0" w:color="auto"/>
        <w:right w:val="none" w:sz="0" w:space="0" w:color="auto"/>
      </w:divBdr>
    </w:div>
    <w:div w:id="1320881882">
      <w:bodyDiv w:val="1"/>
      <w:marLeft w:val="0"/>
      <w:marRight w:val="0"/>
      <w:marTop w:val="0"/>
      <w:marBottom w:val="0"/>
      <w:divBdr>
        <w:top w:val="none" w:sz="0" w:space="0" w:color="auto"/>
        <w:left w:val="none" w:sz="0" w:space="0" w:color="auto"/>
        <w:bottom w:val="none" w:sz="0" w:space="0" w:color="auto"/>
        <w:right w:val="none" w:sz="0" w:space="0" w:color="auto"/>
      </w:divBdr>
    </w:div>
    <w:div w:id="1332103256">
      <w:bodyDiv w:val="1"/>
      <w:marLeft w:val="0"/>
      <w:marRight w:val="0"/>
      <w:marTop w:val="0"/>
      <w:marBottom w:val="0"/>
      <w:divBdr>
        <w:top w:val="none" w:sz="0" w:space="0" w:color="auto"/>
        <w:left w:val="none" w:sz="0" w:space="0" w:color="auto"/>
        <w:bottom w:val="none" w:sz="0" w:space="0" w:color="auto"/>
        <w:right w:val="none" w:sz="0" w:space="0" w:color="auto"/>
      </w:divBdr>
    </w:div>
    <w:div w:id="1365252686">
      <w:bodyDiv w:val="1"/>
      <w:marLeft w:val="0"/>
      <w:marRight w:val="0"/>
      <w:marTop w:val="0"/>
      <w:marBottom w:val="0"/>
      <w:divBdr>
        <w:top w:val="none" w:sz="0" w:space="0" w:color="auto"/>
        <w:left w:val="none" w:sz="0" w:space="0" w:color="auto"/>
        <w:bottom w:val="none" w:sz="0" w:space="0" w:color="auto"/>
        <w:right w:val="none" w:sz="0" w:space="0" w:color="auto"/>
      </w:divBdr>
    </w:div>
    <w:div w:id="1422797933">
      <w:bodyDiv w:val="1"/>
      <w:marLeft w:val="0"/>
      <w:marRight w:val="0"/>
      <w:marTop w:val="0"/>
      <w:marBottom w:val="0"/>
      <w:divBdr>
        <w:top w:val="none" w:sz="0" w:space="0" w:color="auto"/>
        <w:left w:val="none" w:sz="0" w:space="0" w:color="auto"/>
        <w:bottom w:val="none" w:sz="0" w:space="0" w:color="auto"/>
        <w:right w:val="none" w:sz="0" w:space="0" w:color="auto"/>
      </w:divBdr>
    </w:div>
    <w:div w:id="1534537335">
      <w:bodyDiv w:val="1"/>
      <w:marLeft w:val="0"/>
      <w:marRight w:val="0"/>
      <w:marTop w:val="0"/>
      <w:marBottom w:val="0"/>
      <w:divBdr>
        <w:top w:val="none" w:sz="0" w:space="0" w:color="auto"/>
        <w:left w:val="none" w:sz="0" w:space="0" w:color="auto"/>
        <w:bottom w:val="none" w:sz="0" w:space="0" w:color="auto"/>
        <w:right w:val="none" w:sz="0" w:space="0" w:color="auto"/>
      </w:divBdr>
    </w:div>
    <w:div w:id="1534999864">
      <w:bodyDiv w:val="1"/>
      <w:marLeft w:val="0"/>
      <w:marRight w:val="0"/>
      <w:marTop w:val="0"/>
      <w:marBottom w:val="0"/>
      <w:divBdr>
        <w:top w:val="none" w:sz="0" w:space="0" w:color="auto"/>
        <w:left w:val="none" w:sz="0" w:space="0" w:color="auto"/>
        <w:bottom w:val="none" w:sz="0" w:space="0" w:color="auto"/>
        <w:right w:val="none" w:sz="0" w:space="0" w:color="auto"/>
      </w:divBdr>
    </w:div>
    <w:div w:id="1563712507">
      <w:bodyDiv w:val="1"/>
      <w:marLeft w:val="0"/>
      <w:marRight w:val="0"/>
      <w:marTop w:val="0"/>
      <w:marBottom w:val="0"/>
      <w:divBdr>
        <w:top w:val="none" w:sz="0" w:space="0" w:color="auto"/>
        <w:left w:val="none" w:sz="0" w:space="0" w:color="auto"/>
        <w:bottom w:val="none" w:sz="0" w:space="0" w:color="auto"/>
        <w:right w:val="none" w:sz="0" w:space="0" w:color="auto"/>
      </w:divBdr>
    </w:div>
    <w:div w:id="1575779722">
      <w:bodyDiv w:val="1"/>
      <w:marLeft w:val="0"/>
      <w:marRight w:val="0"/>
      <w:marTop w:val="0"/>
      <w:marBottom w:val="0"/>
      <w:divBdr>
        <w:top w:val="none" w:sz="0" w:space="0" w:color="auto"/>
        <w:left w:val="none" w:sz="0" w:space="0" w:color="auto"/>
        <w:bottom w:val="none" w:sz="0" w:space="0" w:color="auto"/>
        <w:right w:val="none" w:sz="0" w:space="0" w:color="auto"/>
      </w:divBdr>
    </w:div>
    <w:div w:id="1629235262">
      <w:bodyDiv w:val="1"/>
      <w:marLeft w:val="0"/>
      <w:marRight w:val="0"/>
      <w:marTop w:val="0"/>
      <w:marBottom w:val="0"/>
      <w:divBdr>
        <w:top w:val="none" w:sz="0" w:space="0" w:color="auto"/>
        <w:left w:val="none" w:sz="0" w:space="0" w:color="auto"/>
        <w:bottom w:val="none" w:sz="0" w:space="0" w:color="auto"/>
        <w:right w:val="none" w:sz="0" w:space="0" w:color="auto"/>
      </w:divBdr>
    </w:div>
    <w:div w:id="1802116027">
      <w:bodyDiv w:val="1"/>
      <w:marLeft w:val="0"/>
      <w:marRight w:val="0"/>
      <w:marTop w:val="0"/>
      <w:marBottom w:val="0"/>
      <w:divBdr>
        <w:top w:val="none" w:sz="0" w:space="0" w:color="auto"/>
        <w:left w:val="none" w:sz="0" w:space="0" w:color="auto"/>
        <w:bottom w:val="none" w:sz="0" w:space="0" w:color="auto"/>
        <w:right w:val="none" w:sz="0" w:space="0" w:color="auto"/>
      </w:divBdr>
    </w:div>
    <w:div w:id="1855605728">
      <w:bodyDiv w:val="1"/>
      <w:marLeft w:val="0"/>
      <w:marRight w:val="0"/>
      <w:marTop w:val="0"/>
      <w:marBottom w:val="0"/>
      <w:divBdr>
        <w:top w:val="none" w:sz="0" w:space="0" w:color="auto"/>
        <w:left w:val="none" w:sz="0" w:space="0" w:color="auto"/>
        <w:bottom w:val="none" w:sz="0" w:space="0" w:color="auto"/>
        <w:right w:val="none" w:sz="0" w:space="0" w:color="auto"/>
      </w:divBdr>
    </w:div>
    <w:div w:id="1860656174">
      <w:bodyDiv w:val="1"/>
      <w:marLeft w:val="0"/>
      <w:marRight w:val="0"/>
      <w:marTop w:val="0"/>
      <w:marBottom w:val="0"/>
      <w:divBdr>
        <w:top w:val="none" w:sz="0" w:space="0" w:color="auto"/>
        <w:left w:val="none" w:sz="0" w:space="0" w:color="auto"/>
        <w:bottom w:val="none" w:sz="0" w:space="0" w:color="auto"/>
        <w:right w:val="none" w:sz="0" w:space="0" w:color="auto"/>
      </w:divBdr>
    </w:div>
    <w:div w:id="1875999940">
      <w:bodyDiv w:val="1"/>
      <w:marLeft w:val="0"/>
      <w:marRight w:val="0"/>
      <w:marTop w:val="0"/>
      <w:marBottom w:val="0"/>
      <w:divBdr>
        <w:top w:val="none" w:sz="0" w:space="0" w:color="auto"/>
        <w:left w:val="none" w:sz="0" w:space="0" w:color="auto"/>
        <w:bottom w:val="none" w:sz="0" w:space="0" w:color="auto"/>
        <w:right w:val="none" w:sz="0" w:space="0" w:color="auto"/>
      </w:divBdr>
    </w:div>
    <w:div w:id="1892232496">
      <w:bodyDiv w:val="1"/>
      <w:marLeft w:val="0"/>
      <w:marRight w:val="0"/>
      <w:marTop w:val="0"/>
      <w:marBottom w:val="0"/>
      <w:divBdr>
        <w:top w:val="none" w:sz="0" w:space="0" w:color="auto"/>
        <w:left w:val="none" w:sz="0" w:space="0" w:color="auto"/>
        <w:bottom w:val="none" w:sz="0" w:space="0" w:color="auto"/>
        <w:right w:val="none" w:sz="0" w:space="0" w:color="auto"/>
      </w:divBdr>
    </w:div>
    <w:div w:id="1907566415">
      <w:bodyDiv w:val="1"/>
      <w:marLeft w:val="0"/>
      <w:marRight w:val="0"/>
      <w:marTop w:val="0"/>
      <w:marBottom w:val="0"/>
      <w:divBdr>
        <w:top w:val="none" w:sz="0" w:space="0" w:color="auto"/>
        <w:left w:val="none" w:sz="0" w:space="0" w:color="auto"/>
        <w:bottom w:val="none" w:sz="0" w:space="0" w:color="auto"/>
        <w:right w:val="none" w:sz="0" w:space="0" w:color="auto"/>
      </w:divBdr>
    </w:div>
    <w:div w:id="1916284743">
      <w:bodyDiv w:val="1"/>
      <w:marLeft w:val="0"/>
      <w:marRight w:val="0"/>
      <w:marTop w:val="0"/>
      <w:marBottom w:val="0"/>
      <w:divBdr>
        <w:top w:val="none" w:sz="0" w:space="0" w:color="auto"/>
        <w:left w:val="none" w:sz="0" w:space="0" w:color="auto"/>
        <w:bottom w:val="none" w:sz="0" w:space="0" w:color="auto"/>
        <w:right w:val="none" w:sz="0" w:space="0" w:color="auto"/>
      </w:divBdr>
      <w:divsChild>
        <w:div w:id="1110007833">
          <w:marLeft w:val="0"/>
          <w:marRight w:val="0"/>
          <w:marTop w:val="0"/>
          <w:marBottom w:val="0"/>
          <w:divBdr>
            <w:top w:val="none" w:sz="0" w:space="0" w:color="auto"/>
            <w:left w:val="none" w:sz="0" w:space="0" w:color="auto"/>
            <w:bottom w:val="none" w:sz="0" w:space="0" w:color="auto"/>
            <w:right w:val="none" w:sz="0" w:space="0" w:color="auto"/>
          </w:divBdr>
        </w:div>
        <w:div w:id="1380282838">
          <w:marLeft w:val="0"/>
          <w:marRight w:val="0"/>
          <w:marTop w:val="0"/>
          <w:marBottom w:val="0"/>
          <w:divBdr>
            <w:top w:val="none" w:sz="0" w:space="0" w:color="auto"/>
            <w:left w:val="none" w:sz="0" w:space="0" w:color="auto"/>
            <w:bottom w:val="none" w:sz="0" w:space="0" w:color="auto"/>
            <w:right w:val="none" w:sz="0" w:space="0" w:color="auto"/>
          </w:divBdr>
        </w:div>
        <w:div w:id="902639013">
          <w:marLeft w:val="0"/>
          <w:marRight w:val="0"/>
          <w:marTop w:val="0"/>
          <w:marBottom w:val="0"/>
          <w:divBdr>
            <w:top w:val="none" w:sz="0" w:space="0" w:color="auto"/>
            <w:left w:val="none" w:sz="0" w:space="0" w:color="auto"/>
            <w:bottom w:val="none" w:sz="0" w:space="0" w:color="auto"/>
            <w:right w:val="none" w:sz="0" w:space="0" w:color="auto"/>
          </w:divBdr>
        </w:div>
        <w:div w:id="658921514">
          <w:marLeft w:val="0"/>
          <w:marRight w:val="0"/>
          <w:marTop w:val="0"/>
          <w:marBottom w:val="0"/>
          <w:divBdr>
            <w:top w:val="none" w:sz="0" w:space="0" w:color="auto"/>
            <w:left w:val="none" w:sz="0" w:space="0" w:color="auto"/>
            <w:bottom w:val="none" w:sz="0" w:space="0" w:color="auto"/>
            <w:right w:val="none" w:sz="0" w:space="0" w:color="auto"/>
          </w:divBdr>
        </w:div>
      </w:divsChild>
    </w:div>
    <w:div w:id="1931770458">
      <w:bodyDiv w:val="1"/>
      <w:marLeft w:val="0"/>
      <w:marRight w:val="0"/>
      <w:marTop w:val="0"/>
      <w:marBottom w:val="0"/>
      <w:divBdr>
        <w:top w:val="none" w:sz="0" w:space="0" w:color="auto"/>
        <w:left w:val="none" w:sz="0" w:space="0" w:color="auto"/>
        <w:bottom w:val="none" w:sz="0" w:space="0" w:color="auto"/>
        <w:right w:val="none" w:sz="0" w:space="0" w:color="auto"/>
      </w:divBdr>
    </w:div>
    <w:div w:id="1962804715">
      <w:bodyDiv w:val="1"/>
      <w:marLeft w:val="0"/>
      <w:marRight w:val="0"/>
      <w:marTop w:val="0"/>
      <w:marBottom w:val="0"/>
      <w:divBdr>
        <w:top w:val="none" w:sz="0" w:space="0" w:color="auto"/>
        <w:left w:val="none" w:sz="0" w:space="0" w:color="auto"/>
        <w:bottom w:val="none" w:sz="0" w:space="0" w:color="auto"/>
        <w:right w:val="none" w:sz="0" w:space="0" w:color="auto"/>
      </w:divBdr>
    </w:div>
    <w:div w:id="1990205621">
      <w:bodyDiv w:val="1"/>
      <w:marLeft w:val="0"/>
      <w:marRight w:val="0"/>
      <w:marTop w:val="0"/>
      <w:marBottom w:val="0"/>
      <w:divBdr>
        <w:top w:val="none" w:sz="0" w:space="0" w:color="auto"/>
        <w:left w:val="none" w:sz="0" w:space="0" w:color="auto"/>
        <w:bottom w:val="none" w:sz="0" w:space="0" w:color="auto"/>
        <w:right w:val="none" w:sz="0" w:space="0" w:color="auto"/>
      </w:divBdr>
    </w:div>
    <w:div w:id="2009821803">
      <w:bodyDiv w:val="1"/>
      <w:marLeft w:val="0"/>
      <w:marRight w:val="0"/>
      <w:marTop w:val="0"/>
      <w:marBottom w:val="0"/>
      <w:divBdr>
        <w:top w:val="none" w:sz="0" w:space="0" w:color="auto"/>
        <w:left w:val="none" w:sz="0" w:space="0" w:color="auto"/>
        <w:bottom w:val="none" w:sz="0" w:space="0" w:color="auto"/>
        <w:right w:val="none" w:sz="0" w:space="0" w:color="auto"/>
      </w:divBdr>
    </w:div>
    <w:div w:id="2011786415">
      <w:bodyDiv w:val="1"/>
      <w:marLeft w:val="0"/>
      <w:marRight w:val="0"/>
      <w:marTop w:val="0"/>
      <w:marBottom w:val="0"/>
      <w:divBdr>
        <w:top w:val="none" w:sz="0" w:space="0" w:color="auto"/>
        <w:left w:val="none" w:sz="0" w:space="0" w:color="auto"/>
        <w:bottom w:val="none" w:sz="0" w:space="0" w:color="auto"/>
        <w:right w:val="none" w:sz="0" w:space="0" w:color="auto"/>
      </w:divBdr>
    </w:div>
    <w:div w:id="2028827495">
      <w:bodyDiv w:val="1"/>
      <w:marLeft w:val="0"/>
      <w:marRight w:val="0"/>
      <w:marTop w:val="0"/>
      <w:marBottom w:val="0"/>
      <w:divBdr>
        <w:top w:val="none" w:sz="0" w:space="0" w:color="auto"/>
        <w:left w:val="none" w:sz="0" w:space="0" w:color="auto"/>
        <w:bottom w:val="none" w:sz="0" w:space="0" w:color="auto"/>
        <w:right w:val="none" w:sz="0" w:space="0" w:color="auto"/>
      </w:divBdr>
    </w:div>
    <w:div w:id="2043480624">
      <w:bodyDiv w:val="1"/>
      <w:marLeft w:val="0"/>
      <w:marRight w:val="0"/>
      <w:marTop w:val="0"/>
      <w:marBottom w:val="0"/>
      <w:divBdr>
        <w:top w:val="none" w:sz="0" w:space="0" w:color="auto"/>
        <w:left w:val="none" w:sz="0" w:space="0" w:color="auto"/>
        <w:bottom w:val="none" w:sz="0" w:space="0" w:color="auto"/>
        <w:right w:val="none" w:sz="0" w:space="0" w:color="auto"/>
      </w:divBdr>
    </w:div>
    <w:div w:id="2049455409">
      <w:bodyDiv w:val="1"/>
      <w:marLeft w:val="0"/>
      <w:marRight w:val="0"/>
      <w:marTop w:val="0"/>
      <w:marBottom w:val="0"/>
      <w:divBdr>
        <w:top w:val="none" w:sz="0" w:space="0" w:color="auto"/>
        <w:left w:val="none" w:sz="0" w:space="0" w:color="auto"/>
        <w:bottom w:val="none" w:sz="0" w:space="0" w:color="auto"/>
        <w:right w:val="none" w:sz="0" w:space="0" w:color="auto"/>
      </w:divBdr>
    </w:div>
    <w:div w:id="2066876288">
      <w:bodyDiv w:val="1"/>
      <w:marLeft w:val="0"/>
      <w:marRight w:val="0"/>
      <w:marTop w:val="0"/>
      <w:marBottom w:val="0"/>
      <w:divBdr>
        <w:top w:val="none" w:sz="0" w:space="0" w:color="auto"/>
        <w:left w:val="none" w:sz="0" w:space="0" w:color="auto"/>
        <w:bottom w:val="none" w:sz="0" w:space="0" w:color="auto"/>
        <w:right w:val="none" w:sz="0" w:space="0" w:color="auto"/>
      </w:divBdr>
    </w:div>
    <w:div w:id="21252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049B8-2F9D-407E-A1B6-BA7F085A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Heard</dc:creator>
  <cp:keywords/>
  <dc:description/>
  <cp:lastModifiedBy>Linda Heard</cp:lastModifiedBy>
  <cp:revision>3</cp:revision>
  <cp:lastPrinted>2023-05-24T16:06:00Z</cp:lastPrinted>
  <dcterms:created xsi:type="dcterms:W3CDTF">2023-05-26T14:38:00Z</dcterms:created>
  <dcterms:modified xsi:type="dcterms:W3CDTF">2023-05-26T14:40:00Z</dcterms:modified>
</cp:coreProperties>
</file>