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B3D7" w14:textId="77777777" w:rsidR="00833613" w:rsidRDefault="00833613" w:rsidP="000B10A3">
      <w:pPr>
        <w:tabs>
          <w:tab w:val="left" w:pos="1635"/>
          <w:tab w:val="center" w:pos="4806"/>
        </w:tabs>
        <w:jc w:val="center"/>
        <w:rPr>
          <w:b/>
        </w:rPr>
      </w:pPr>
      <w:bookmarkStart w:id="0" w:name="_Hlk69386296"/>
    </w:p>
    <w:p w14:paraId="34CAB4C3" w14:textId="77777777" w:rsidR="00631213" w:rsidRPr="00631213" w:rsidRDefault="00631213" w:rsidP="00631213">
      <w:pPr>
        <w:ind w:firstLine="0"/>
        <w:rPr>
          <w:rFonts w:eastAsia="Calibri"/>
          <w:lang w:bidi="ar-SA"/>
        </w:rPr>
      </w:pPr>
      <w:r w:rsidRPr="00631213">
        <w:rPr>
          <w:rFonts w:eastAsia="Calibri"/>
          <w:lang w:bidi="ar-SA"/>
        </w:rPr>
        <w:t>November 2023</w:t>
      </w:r>
    </w:p>
    <w:p w14:paraId="5F856E96" w14:textId="77777777" w:rsidR="00631213" w:rsidRPr="00631213" w:rsidRDefault="00631213" w:rsidP="00631213">
      <w:pPr>
        <w:ind w:firstLine="0"/>
        <w:rPr>
          <w:rFonts w:eastAsia="Calibri"/>
          <w:lang w:bidi="ar-SA"/>
        </w:rPr>
      </w:pPr>
    </w:p>
    <w:p w14:paraId="1CF050DA" w14:textId="77777777" w:rsidR="00631213" w:rsidRPr="00631213" w:rsidRDefault="00631213" w:rsidP="00631213">
      <w:pPr>
        <w:ind w:firstLine="0"/>
        <w:rPr>
          <w:rFonts w:eastAsia="Calibri"/>
          <w:lang w:bidi="ar-SA"/>
        </w:rPr>
      </w:pPr>
    </w:p>
    <w:p w14:paraId="4A5A854D" w14:textId="77777777" w:rsidR="00631213" w:rsidRPr="00631213" w:rsidRDefault="00631213" w:rsidP="00631213">
      <w:pPr>
        <w:ind w:firstLine="0"/>
        <w:rPr>
          <w:rFonts w:eastAsia="Calibri"/>
          <w:lang w:bidi="ar-SA"/>
        </w:rPr>
      </w:pPr>
    </w:p>
    <w:p w14:paraId="0DB8A71A" w14:textId="77777777" w:rsidR="00631213" w:rsidRPr="00631213" w:rsidRDefault="00631213" w:rsidP="00631213">
      <w:pPr>
        <w:ind w:firstLine="0"/>
        <w:rPr>
          <w:rFonts w:eastAsia="Calibri"/>
          <w:lang w:bidi="ar-SA"/>
        </w:rPr>
      </w:pPr>
    </w:p>
    <w:p w14:paraId="7FEF58E6" w14:textId="77777777" w:rsidR="00631213" w:rsidRPr="00631213" w:rsidRDefault="00631213" w:rsidP="00631213">
      <w:pPr>
        <w:ind w:firstLine="0"/>
        <w:rPr>
          <w:rFonts w:eastAsia="Calibri"/>
          <w:lang w:bidi="ar-SA"/>
        </w:rPr>
      </w:pPr>
    </w:p>
    <w:p w14:paraId="1C326233" w14:textId="77777777" w:rsidR="00631213" w:rsidRPr="00631213" w:rsidRDefault="00631213" w:rsidP="00631213">
      <w:pPr>
        <w:ind w:firstLine="0"/>
        <w:rPr>
          <w:rFonts w:eastAsia="Calibri"/>
          <w:lang w:bidi="ar-SA"/>
        </w:rPr>
      </w:pPr>
    </w:p>
    <w:p w14:paraId="53EDEEB5" w14:textId="77777777" w:rsidR="00631213" w:rsidRPr="00631213" w:rsidRDefault="00631213" w:rsidP="00631213">
      <w:pPr>
        <w:ind w:firstLine="0"/>
        <w:rPr>
          <w:rFonts w:eastAsia="Calibri"/>
          <w:lang w:bidi="ar-SA"/>
        </w:rPr>
      </w:pPr>
      <w:r w:rsidRPr="00631213">
        <w:rPr>
          <w:rFonts w:eastAsia="Calibri"/>
          <w:lang w:bidi="ar-SA"/>
        </w:rPr>
        <w:tab/>
      </w:r>
    </w:p>
    <w:p w14:paraId="69EB67B9" w14:textId="77777777" w:rsidR="00631213" w:rsidRPr="00631213" w:rsidRDefault="00631213" w:rsidP="00631213">
      <w:pPr>
        <w:ind w:firstLine="0"/>
        <w:rPr>
          <w:rFonts w:eastAsia="Calibri"/>
          <w:lang w:bidi="ar-SA"/>
        </w:rPr>
      </w:pPr>
    </w:p>
    <w:p w14:paraId="06F71979" w14:textId="77777777" w:rsidR="00631213" w:rsidRPr="00631213" w:rsidRDefault="00631213" w:rsidP="00631213">
      <w:pPr>
        <w:ind w:firstLine="0"/>
        <w:rPr>
          <w:rFonts w:eastAsia="Calibri"/>
          <w:lang w:bidi="ar-SA"/>
        </w:rPr>
      </w:pPr>
    </w:p>
    <w:p w14:paraId="5098F4B2" w14:textId="77777777" w:rsidR="00631213" w:rsidRPr="00631213" w:rsidRDefault="00631213" w:rsidP="00631213">
      <w:pPr>
        <w:ind w:firstLine="0"/>
        <w:rPr>
          <w:rFonts w:eastAsia="Calibri"/>
          <w:lang w:bidi="ar-SA"/>
        </w:rPr>
      </w:pPr>
      <w:r w:rsidRPr="00631213">
        <w:rPr>
          <w:rFonts w:eastAsia="Calibri"/>
          <w:lang w:bidi="ar-SA"/>
        </w:rPr>
        <w:tab/>
        <w:t xml:space="preserve">Here are selected year to date return numbers through the end of October. </w:t>
      </w:r>
    </w:p>
    <w:p w14:paraId="16F04448" w14:textId="77777777" w:rsidR="00631213" w:rsidRPr="00631213" w:rsidRDefault="00631213" w:rsidP="00631213">
      <w:pPr>
        <w:spacing w:line="276" w:lineRule="auto"/>
        <w:ind w:firstLine="0"/>
        <w:contextualSpacing/>
        <w:rPr>
          <w:rFonts w:eastAsia="Calibri"/>
          <w:lang w:bidi="ar-SA"/>
        </w:rPr>
      </w:pPr>
    </w:p>
    <w:p w14:paraId="1A783C0D" w14:textId="77777777" w:rsidR="00631213" w:rsidRPr="00631213" w:rsidRDefault="00631213" w:rsidP="00631213">
      <w:pPr>
        <w:spacing w:line="276" w:lineRule="auto"/>
        <w:ind w:firstLine="0"/>
        <w:contextualSpacing/>
        <w:rPr>
          <w:rFonts w:eastAsia="Calibri"/>
          <w:lang w:bidi="ar-SA"/>
        </w:rPr>
      </w:pPr>
    </w:p>
    <w:p w14:paraId="11A4738D" w14:textId="77777777" w:rsidR="00631213" w:rsidRPr="00631213" w:rsidRDefault="00631213" w:rsidP="00631213">
      <w:pPr>
        <w:spacing w:line="276" w:lineRule="auto"/>
        <w:ind w:firstLine="0"/>
        <w:contextualSpacing/>
        <w:rPr>
          <w:rFonts w:eastAsia="Calibri"/>
          <w:lang w:bidi="ar-SA"/>
        </w:rPr>
      </w:pPr>
      <w:r w:rsidRPr="00631213">
        <w:rPr>
          <w:rFonts w:eastAsia="Calibri"/>
          <w:b/>
          <w:lang w:bidi="ar-SA"/>
        </w:rPr>
        <w:t xml:space="preserve"> </w:t>
      </w:r>
      <w:r w:rsidRPr="00631213">
        <w:rPr>
          <w:rFonts w:eastAsia="Calibri"/>
          <w:b/>
          <w:lang w:bidi="ar-SA"/>
        </w:rPr>
        <w:tab/>
      </w:r>
      <w:r w:rsidRPr="00631213">
        <w:rPr>
          <w:rFonts w:eastAsia="Calibri"/>
          <w:b/>
          <w:lang w:bidi="ar-SA"/>
        </w:rPr>
        <w:tab/>
        <w:t>Stock Indexes</w:t>
      </w:r>
    </w:p>
    <w:p w14:paraId="6CF19DDE" w14:textId="77777777" w:rsidR="00631213" w:rsidRPr="00631213" w:rsidRDefault="00631213" w:rsidP="00631213">
      <w:pPr>
        <w:spacing w:line="276" w:lineRule="auto"/>
        <w:ind w:firstLine="0"/>
        <w:rPr>
          <w:rFonts w:eastAsia="Calibri"/>
          <w:b/>
          <w:sz w:val="20"/>
          <w:szCs w:val="20"/>
          <w:lang w:bidi="ar-SA"/>
        </w:rPr>
      </w:pP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sz w:val="20"/>
          <w:szCs w:val="20"/>
          <w:lang w:bidi="ar-SA"/>
        </w:rPr>
        <w:t xml:space="preserve">              </w:t>
      </w:r>
      <w:r w:rsidRPr="00631213">
        <w:rPr>
          <w:rFonts w:eastAsia="Calibri"/>
          <w:b/>
          <w:sz w:val="20"/>
          <w:szCs w:val="20"/>
          <w:lang w:bidi="ar-SA"/>
        </w:rPr>
        <w:t>(As of 10/31/23)*</w:t>
      </w:r>
    </w:p>
    <w:p w14:paraId="0C424FF4"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Dow Jones Industrials</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-0.30%</w:t>
      </w:r>
    </w:p>
    <w:p w14:paraId="6701F252"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S&amp;P 500 Index</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9.20%</w:t>
      </w:r>
    </w:p>
    <w:p w14:paraId="50BA13D9"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NASDAQ Composite</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22.80%</w:t>
      </w:r>
    </w:p>
    <w:p w14:paraId="0D98406E" w14:textId="77777777" w:rsidR="00631213" w:rsidRPr="00631213" w:rsidRDefault="00631213" w:rsidP="00631213">
      <w:pPr>
        <w:tabs>
          <w:tab w:val="left" w:pos="6480"/>
        </w:tabs>
        <w:spacing w:line="276" w:lineRule="auto"/>
        <w:ind w:left="720"/>
        <w:contextualSpacing/>
        <w:rPr>
          <w:rFonts w:eastAsia="Calibri"/>
          <w:lang w:bidi="ar-SA"/>
        </w:rPr>
      </w:pPr>
      <w:r w:rsidRPr="00631213">
        <w:rPr>
          <w:rFonts w:eastAsia="Calibri"/>
          <w:lang w:bidi="ar-SA"/>
        </w:rPr>
        <w:t>MSCI World Ex U.S. Index</w:t>
      </w:r>
      <w:r w:rsidRPr="00631213">
        <w:rPr>
          <w:rFonts w:eastAsia="Calibri"/>
          <w:lang w:bidi="ar-SA"/>
        </w:rPr>
        <w:tab/>
        <w:t xml:space="preserve">       -0.26%</w:t>
      </w:r>
    </w:p>
    <w:p w14:paraId="24EC7236" w14:textId="77777777" w:rsidR="00631213" w:rsidRPr="00631213" w:rsidRDefault="00631213" w:rsidP="00631213">
      <w:pPr>
        <w:spacing w:line="276" w:lineRule="auto"/>
        <w:rPr>
          <w:rFonts w:eastAsia="Calibri"/>
          <w:sz w:val="16"/>
          <w:szCs w:val="16"/>
          <w:lang w:bidi="ar-SA"/>
        </w:rPr>
      </w:pPr>
    </w:p>
    <w:p w14:paraId="1DE64894" w14:textId="77777777" w:rsidR="00631213" w:rsidRPr="00631213" w:rsidRDefault="00631213" w:rsidP="00631213">
      <w:pPr>
        <w:spacing w:line="276" w:lineRule="auto"/>
        <w:rPr>
          <w:rFonts w:eastAsia="Calibri"/>
          <w:b/>
          <w:sz w:val="20"/>
          <w:szCs w:val="20"/>
          <w:lang w:bidi="ar-SA"/>
        </w:rPr>
      </w:pP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sz w:val="20"/>
          <w:szCs w:val="20"/>
          <w:lang w:bidi="ar-SA"/>
        </w:rPr>
        <w:t xml:space="preserve">                            (</w:t>
      </w:r>
      <w:r w:rsidRPr="00631213">
        <w:rPr>
          <w:rFonts w:eastAsia="Calibri"/>
          <w:b/>
          <w:sz w:val="20"/>
          <w:szCs w:val="20"/>
          <w:lang w:bidi="ar-SA"/>
        </w:rPr>
        <w:t>As of 10/31/23)*</w:t>
      </w:r>
    </w:p>
    <w:p w14:paraId="267B09C5" w14:textId="77777777" w:rsidR="00631213" w:rsidRPr="00631213" w:rsidRDefault="00631213" w:rsidP="00631213">
      <w:pPr>
        <w:spacing w:line="276" w:lineRule="auto"/>
        <w:ind w:left="1440" w:firstLine="0"/>
        <w:contextualSpacing/>
        <w:rPr>
          <w:rFonts w:eastAsia="Calibri"/>
          <w:lang w:bidi="ar-SA"/>
        </w:rPr>
      </w:pPr>
      <w:r w:rsidRPr="00631213">
        <w:rPr>
          <w:rFonts w:eastAsia="Calibri"/>
          <w:lang w:bidi="ar-SA"/>
        </w:rPr>
        <w:t>Russell 1000 Growth Index</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23.20%</w:t>
      </w:r>
    </w:p>
    <w:p w14:paraId="5932804A"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 xml:space="preserve">Russell 1000 Value Index </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-1.80%</w:t>
      </w:r>
    </w:p>
    <w:p w14:paraId="017079CB" w14:textId="77777777" w:rsidR="00631213" w:rsidRPr="00631213" w:rsidRDefault="00631213" w:rsidP="00631213">
      <w:pPr>
        <w:spacing w:line="276" w:lineRule="auto"/>
        <w:ind w:left="720"/>
        <w:contextualSpacing/>
        <w:rPr>
          <w:rFonts w:eastAsia="Calibri"/>
          <w:lang w:bidi="ar-SA"/>
        </w:rPr>
      </w:pPr>
    </w:p>
    <w:p w14:paraId="52FD0B3B" w14:textId="77777777" w:rsidR="00631213" w:rsidRPr="00631213" w:rsidRDefault="00631213" w:rsidP="00631213">
      <w:pPr>
        <w:tabs>
          <w:tab w:val="left" w:pos="1471"/>
          <w:tab w:val="left" w:pos="6480"/>
        </w:tabs>
        <w:spacing w:line="276" w:lineRule="auto"/>
        <w:ind w:firstLine="0"/>
        <w:rPr>
          <w:rFonts w:eastAsia="Calibri"/>
          <w:b/>
          <w:sz w:val="20"/>
          <w:szCs w:val="20"/>
          <w:lang w:bidi="ar-SA"/>
        </w:rPr>
      </w:pPr>
      <w:r w:rsidRPr="00631213">
        <w:rPr>
          <w:rFonts w:eastAsia="Calibri"/>
          <w:b/>
          <w:lang w:bidi="ar-SA"/>
        </w:rPr>
        <w:t xml:space="preserve">                                                                                                            </w:t>
      </w:r>
      <w:r w:rsidRPr="00631213">
        <w:rPr>
          <w:rFonts w:eastAsia="Calibri"/>
          <w:b/>
          <w:sz w:val="20"/>
          <w:szCs w:val="20"/>
          <w:lang w:bidi="ar-SA"/>
        </w:rPr>
        <w:t>(As of 10/31/23)*</w:t>
      </w:r>
    </w:p>
    <w:p w14:paraId="50A4AFE6"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Russell 2000 Index</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-4.45%</w:t>
      </w:r>
    </w:p>
    <w:p w14:paraId="58FCEB36"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 xml:space="preserve">Russell 2000 Growth Index      </w:t>
      </w:r>
      <w:r w:rsidRPr="00631213">
        <w:rPr>
          <w:rFonts w:eastAsia="Calibri"/>
          <w:lang w:bidi="ar-SA"/>
        </w:rPr>
        <w:tab/>
      </w:r>
      <w:r w:rsidRPr="00631213">
        <w:rPr>
          <w:rFonts w:eastAsia="Calibri"/>
          <w:lang w:bidi="ar-SA"/>
        </w:rPr>
        <w:tab/>
      </w:r>
      <w:r w:rsidRPr="00631213">
        <w:rPr>
          <w:rFonts w:eastAsia="Calibri"/>
          <w:lang w:bidi="ar-SA"/>
        </w:rPr>
        <w:tab/>
        <w:t xml:space="preserve">     -2.87%</w:t>
      </w:r>
    </w:p>
    <w:p w14:paraId="79D85C97" w14:textId="77777777" w:rsidR="00631213" w:rsidRPr="00631213" w:rsidRDefault="00631213" w:rsidP="00631213">
      <w:pPr>
        <w:spacing w:line="276" w:lineRule="auto"/>
        <w:ind w:left="720"/>
        <w:contextualSpacing/>
        <w:rPr>
          <w:rFonts w:eastAsia="Calibri"/>
          <w:lang w:bidi="ar-SA"/>
        </w:rPr>
      </w:pPr>
      <w:r w:rsidRPr="00631213">
        <w:rPr>
          <w:rFonts w:eastAsia="Calibri"/>
          <w:lang w:bidi="ar-SA"/>
        </w:rPr>
        <w:t xml:space="preserve">Russell 2000 Value Index     </w:t>
      </w:r>
      <w:r w:rsidRPr="00631213">
        <w:rPr>
          <w:rFonts w:eastAsia="Calibri"/>
          <w:lang w:bidi="ar-SA"/>
        </w:rPr>
        <w:tab/>
      </w:r>
      <w:r w:rsidRPr="00631213">
        <w:rPr>
          <w:rFonts w:eastAsia="Calibri"/>
          <w:lang w:bidi="ar-SA"/>
        </w:rPr>
        <w:tab/>
      </w:r>
      <w:r w:rsidRPr="00631213">
        <w:rPr>
          <w:rFonts w:eastAsia="Calibri"/>
          <w:lang w:bidi="ar-SA"/>
        </w:rPr>
        <w:tab/>
      </w:r>
      <w:r w:rsidRPr="00631213">
        <w:rPr>
          <w:rFonts w:eastAsia="Calibri"/>
          <w:lang w:bidi="ar-SA"/>
        </w:rPr>
        <w:tab/>
        <w:t xml:space="preserve">     -6.46%</w:t>
      </w:r>
    </w:p>
    <w:p w14:paraId="7C651539" w14:textId="77777777" w:rsidR="00631213" w:rsidRPr="00631213" w:rsidRDefault="00631213" w:rsidP="00631213">
      <w:pPr>
        <w:spacing w:line="276" w:lineRule="auto"/>
        <w:ind w:left="720"/>
        <w:contextualSpacing/>
        <w:rPr>
          <w:rFonts w:eastAsia="Calibri"/>
          <w:b/>
          <w:lang w:bidi="ar-SA"/>
        </w:rPr>
      </w:pPr>
    </w:p>
    <w:p w14:paraId="4CEC1C06" w14:textId="77777777" w:rsidR="00631213" w:rsidRPr="00631213" w:rsidRDefault="00631213" w:rsidP="00631213">
      <w:pPr>
        <w:tabs>
          <w:tab w:val="left" w:pos="6480"/>
          <w:tab w:val="left" w:pos="7020"/>
        </w:tabs>
        <w:spacing w:line="276" w:lineRule="auto"/>
        <w:ind w:left="720"/>
        <w:contextualSpacing/>
        <w:rPr>
          <w:rFonts w:eastAsia="Calibri"/>
          <w:b/>
          <w:sz w:val="20"/>
          <w:szCs w:val="20"/>
          <w:lang w:bidi="ar-SA"/>
        </w:rPr>
      </w:pPr>
      <w:r w:rsidRPr="00631213">
        <w:rPr>
          <w:rFonts w:eastAsia="Calibri"/>
          <w:b/>
          <w:lang w:bidi="ar-SA"/>
        </w:rPr>
        <w:t>Bond Index</w:t>
      </w:r>
      <w:r w:rsidRPr="00631213">
        <w:rPr>
          <w:rFonts w:eastAsia="Calibri"/>
          <w:b/>
          <w:lang w:bidi="ar-SA"/>
        </w:rPr>
        <w:tab/>
      </w:r>
      <w:r w:rsidRPr="00631213">
        <w:rPr>
          <w:rFonts w:eastAsia="Calibri"/>
          <w:b/>
          <w:sz w:val="20"/>
          <w:szCs w:val="20"/>
          <w:lang w:bidi="ar-SA"/>
        </w:rPr>
        <w:t>(As of 10/31/23)*</w:t>
      </w:r>
    </w:p>
    <w:p w14:paraId="18FBF6D0" w14:textId="77777777" w:rsidR="00631213" w:rsidRPr="00631213" w:rsidRDefault="00631213" w:rsidP="00631213">
      <w:pPr>
        <w:spacing w:line="276" w:lineRule="auto"/>
        <w:ind w:firstLine="0"/>
        <w:rPr>
          <w:rFonts w:eastAsia="Calibri"/>
          <w:lang w:bidi="ar-SA"/>
        </w:rPr>
      </w:pPr>
      <w:r w:rsidRPr="00631213">
        <w:rPr>
          <w:rFonts w:eastAsia="Calibri"/>
          <w:lang w:bidi="ar-SA"/>
        </w:rPr>
        <w:tab/>
      </w:r>
      <w:r w:rsidRPr="00631213">
        <w:rPr>
          <w:rFonts w:eastAsia="Calibri"/>
          <w:lang w:bidi="ar-SA"/>
        </w:rPr>
        <w:tab/>
        <w:t>Bloomberg U.S. Aggregate Bond Index</w:t>
      </w:r>
      <w:r w:rsidRPr="00631213">
        <w:rPr>
          <w:rFonts w:eastAsia="Calibri"/>
          <w:lang w:bidi="ar-SA"/>
        </w:rPr>
        <w:tab/>
        <w:t xml:space="preserve">    </w:t>
      </w:r>
      <w:r w:rsidRPr="00631213">
        <w:rPr>
          <w:rFonts w:eastAsia="Calibri"/>
          <w:lang w:bidi="ar-SA"/>
        </w:rPr>
        <w:tab/>
        <w:t xml:space="preserve">      -2.77%</w:t>
      </w:r>
    </w:p>
    <w:p w14:paraId="15383ADE" w14:textId="77777777" w:rsidR="00631213" w:rsidRPr="00631213" w:rsidRDefault="00631213" w:rsidP="00631213">
      <w:pPr>
        <w:tabs>
          <w:tab w:val="left" w:pos="1471"/>
        </w:tabs>
        <w:spacing w:line="276" w:lineRule="auto"/>
        <w:ind w:firstLine="0"/>
        <w:rPr>
          <w:rFonts w:eastAsia="Calibri"/>
          <w:b/>
          <w:sz w:val="16"/>
          <w:szCs w:val="16"/>
          <w:lang w:bidi="ar-SA"/>
        </w:rPr>
      </w:pPr>
      <w:r w:rsidRPr="00631213">
        <w:rPr>
          <w:rFonts w:eastAsia="Calibri"/>
          <w:lang w:bidi="ar-SA"/>
        </w:rPr>
        <w:tab/>
      </w:r>
      <w:r w:rsidRPr="00631213">
        <w:rPr>
          <w:rFonts w:eastAsia="Calibri"/>
          <w:b/>
          <w:lang w:bidi="ar-SA"/>
        </w:rPr>
        <w:tab/>
      </w:r>
      <w:r w:rsidRPr="00631213">
        <w:rPr>
          <w:rFonts w:eastAsia="Calibri"/>
          <w:b/>
          <w:lang w:bidi="ar-SA"/>
        </w:rPr>
        <w:tab/>
      </w:r>
      <w:r w:rsidRPr="00631213">
        <w:rPr>
          <w:rFonts w:eastAsia="Calibri"/>
          <w:b/>
          <w:lang w:bidi="ar-SA"/>
        </w:rPr>
        <w:tab/>
      </w:r>
      <w:r w:rsidRPr="00631213">
        <w:rPr>
          <w:rFonts w:eastAsia="Calibri"/>
          <w:sz w:val="16"/>
          <w:szCs w:val="16"/>
          <w:lang w:bidi="ar-SA"/>
        </w:rPr>
        <w:tab/>
      </w:r>
    </w:p>
    <w:p w14:paraId="29371E0F" w14:textId="77777777" w:rsidR="00631213" w:rsidRPr="00631213" w:rsidRDefault="00631213" w:rsidP="00631213">
      <w:pPr>
        <w:spacing w:line="276" w:lineRule="auto"/>
        <w:ind w:left="720" w:firstLine="0"/>
        <w:contextualSpacing/>
        <w:rPr>
          <w:rFonts w:eastAsia="Calibri"/>
          <w:b/>
          <w:sz w:val="16"/>
          <w:szCs w:val="16"/>
          <w:lang w:bidi="ar-SA"/>
        </w:rPr>
      </w:pPr>
      <w:r w:rsidRPr="00631213">
        <w:rPr>
          <w:rFonts w:eastAsia="Calibri"/>
          <w:b/>
          <w:sz w:val="16"/>
          <w:szCs w:val="16"/>
          <w:lang w:bidi="ar-SA"/>
        </w:rPr>
        <w:t xml:space="preserve">                 (Source:  The Wall Street Journal &amp; Russell Investments websites)</w:t>
      </w:r>
    </w:p>
    <w:p w14:paraId="4288DCE5" w14:textId="77777777" w:rsidR="00631213" w:rsidRPr="00631213" w:rsidRDefault="00631213" w:rsidP="00631213">
      <w:pPr>
        <w:spacing w:line="276" w:lineRule="auto"/>
        <w:ind w:firstLine="0"/>
        <w:rPr>
          <w:rFonts w:eastAsia="Calibri"/>
          <w:b/>
          <w:sz w:val="16"/>
          <w:szCs w:val="16"/>
          <w:lang w:bidi="ar-SA"/>
        </w:rPr>
      </w:pPr>
    </w:p>
    <w:p w14:paraId="178F26EB" w14:textId="77777777" w:rsidR="00631213" w:rsidRPr="00631213" w:rsidRDefault="00631213" w:rsidP="00631213">
      <w:pPr>
        <w:spacing w:line="276" w:lineRule="auto"/>
        <w:rPr>
          <w:rFonts w:eastAsia="Calibri"/>
          <w:sz w:val="16"/>
          <w:szCs w:val="16"/>
          <w:lang w:bidi="ar-SA"/>
        </w:rPr>
      </w:pPr>
      <w:r w:rsidRPr="00631213">
        <w:rPr>
          <w:rFonts w:eastAsia="Calibri"/>
          <w:lang w:bidi="ar-SA"/>
        </w:rPr>
        <w:t xml:space="preserve">           </w:t>
      </w:r>
      <w:r w:rsidRPr="00631213">
        <w:rPr>
          <w:rFonts w:eastAsia="Calibri"/>
          <w:sz w:val="16"/>
          <w:szCs w:val="16"/>
          <w:lang w:bidi="ar-SA"/>
        </w:rPr>
        <w:t>*Inclusion of these indexes is for illustrative purposes only.  Keep in mind that individuals cannot</w:t>
      </w:r>
    </w:p>
    <w:p w14:paraId="69D4C429" w14:textId="77777777" w:rsidR="00631213" w:rsidRPr="00631213" w:rsidRDefault="00631213" w:rsidP="00631213">
      <w:pPr>
        <w:spacing w:line="276" w:lineRule="auto"/>
        <w:rPr>
          <w:rFonts w:eastAsia="Calibri"/>
          <w:sz w:val="16"/>
          <w:szCs w:val="16"/>
          <w:lang w:bidi="ar-SA"/>
        </w:rPr>
      </w:pPr>
      <w:r w:rsidRPr="00631213">
        <w:rPr>
          <w:rFonts w:eastAsia="Calibri"/>
          <w:sz w:val="16"/>
          <w:szCs w:val="16"/>
          <w:lang w:bidi="ar-SA"/>
        </w:rPr>
        <w:t xml:space="preserve">                 invest directly in any index, and index performance does not include transaction costs or other fees,</w:t>
      </w:r>
    </w:p>
    <w:p w14:paraId="22763AFA" w14:textId="77777777" w:rsidR="00631213" w:rsidRPr="00631213" w:rsidRDefault="00631213" w:rsidP="00631213">
      <w:pPr>
        <w:spacing w:line="276" w:lineRule="auto"/>
        <w:rPr>
          <w:rFonts w:eastAsia="Calibri"/>
          <w:sz w:val="16"/>
          <w:szCs w:val="16"/>
          <w:lang w:bidi="ar-SA"/>
        </w:rPr>
      </w:pPr>
      <w:r w:rsidRPr="00631213">
        <w:rPr>
          <w:rFonts w:eastAsia="Calibri"/>
          <w:sz w:val="16"/>
          <w:szCs w:val="16"/>
          <w:lang w:bidi="ar-SA"/>
        </w:rPr>
        <w:t xml:space="preserve">                 which will affect actual investment performance.  Individual investors’ results will vary.  Past</w:t>
      </w:r>
    </w:p>
    <w:p w14:paraId="2CC159BF" w14:textId="77777777" w:rsidR="00631213" w:rsidRPr="00631213" w:rsidRDefault="00631213" w:rsidP="00631213">
      <w:pPr>
        <w:spacing w:line="276" w:lineRule="auto"/>
        <w:rPr>
          <w:rFonts w:eastAsia="Calibri"/>
          <w:b/>
        </w:rPr>
      </w:pPr>
      <w:r w:rsidRPr="00631213">
        <w:rPr>
          <w:rFonts w:eastAsia="Calibri"/>
          <w:sz w:val="16"/>
          <w:szCs w:val="16"/>
          <w:lang w:bidi="ar-SA"/>
        </w:rPr>
        <w:t xml:space="preserve">                 performance does not guarantee future results.</w:t>
      </w:r>
    </w:p>
    <w:p w14:paraId="6C7C1F60" w14:textId="77777777" w:rsidR="00833613" w:rsidRDefault="00833613" w:rsidP="000B10A3">
      <w:pPr>
        <w:tabs>
          <w:tab w:val="left" w:pos="1635"/>
          <w:tab w:val="center" w:pos="4806"/>
        </w:tabs>
        <w:jc w:val="center"/>
        <w:rPr>
          <w:b/>
        </w:rPr>
      </w:pPr>
    </w:p>
    <w:p w14:paraId="72492A42" w14:textId="77777777" w:rsidR="00833613" w:rsidRDefault="00833613" w:rsidP="000B10A3">
      <w:pPr>
        <w:tabs>
          <w:tab w:val="left" w:pos="1635"/>
          <w:tab w:val="center" w:pos="4806"/>
        </w:tabs>
        <w:jc w:val="center"/>
        <w:rPr>
          <w:b/>
        </w:rPr>
      </w:pPr>
    </w:p>
    <w:p w14:paraId="11941CFC" w14:textId="77777777" w:rsidR="00B22682" w:rsidRDefault="00B22682" w:rsidP="000B10A3">
      <w:pPr>
        <w:tabs>
          <w:tab w:val="left" w:pos="1635"/>
          <w:tab w:val="center" w:pos="4806"/>
        </w:tabs>
        <w:jc w:val="center"/>
        <w:rPr>
          <w:b/>
        </w:rPr>
      </w:pPr>
    </w:p>
    <w:p w14:paraId="025981FF" w14:textId="77777777" w:rsidR="00B22682" w:rsidRDefault="00B22682" w:rsidP="000B10A3">
      <w:pPr>
        <w:tabs>
          <w:tab w:val="left" w:pos="1635"/>
          <w:tab w:val="center" w:pos="4806"/>
        </w:tabs>
        <w:jc w:val="center"/>
        <w:rPr>
          <w:b/>
        </w:rPr>
      </w:pPr>
    </w:p>
    <w:p w14:paraId="1D8532CD" w14:textId="77777777" w:rsidR="00B22682" w:rsidRDefault="00B22682" w:rsidP="000B10A3">
      <w:pPr>
        <w:tabs>
          <w:tab w:val="left" w:pos="1635"/>
          <w:tab w:val="center" w:pos="4806"/>
        </w:tabs>
        <w:jc w:val="center"/>
        <w:rPr>
          <w:b/>
        </w:rPr>
      </w:pPr>
    </w:p>
    <w:p w14:paraId="6CF7F971" w14:textId="77777777" w:rsidR="00631213" w:rsidRDefault="00631213" w:rsidP="000B10A3">
      <w:pPr>
        <w:tabs>
          <w:tab w:val="left" w:pos="1635"/>
          <w:tab w:val="center" w:pos="4806"/>
        </w:tabs>
        <w:jc w:val="center"/>
        <w:rPr>
          <w:b/>
        </w:rPr>
      </w:pPr>
    </w:p>
    <w:p w14:paraId="3F964316" w14:textId="77777777" w:rsidR="00B22682" w:rsidRDefault="00B22682" w:rsidP="000B10A3">
      <w:pPr>
        <w:tabs>
          <w:tab w:val="left" w:pos="1635"/>
          <w:tab w:val="center" w:pos="4806"/>
        </w:tabs>
        <w:jc w:val="center"/>
        <w:rPr>
          <w:b/>
        </w:rPr>
      </w:pPr>
    </w:p>
    <w:p w14:paraId="2C1FA9E7" w14:textId="77777777" w:rsidR="00B22682" w:rsidRDefault="00B22682" w:rsidP="000B10A3">
      <w:pPr>
        <w:tabs>
          <w:tab w:val="left" w:pos="1635"/>
          <w:tab w:val="center" w:pos="4806"/>
        </w:tabs>
        <w:jc w:val="center"/>
        <w:rPr>
          <w:b/>
        </w:rPr>
      </w:pPr>
    </w:p>
    <w:p w14:paraId="1E859743" w14:textId="77777777" w:rsidR="00B22682" w:rsidRDefault="00B22682" w:rsidP="000B10A3">
      <w:pPr>
        <w:tabs>
          <w:tab w:val="left" w:pos="1635"/>
          <w:tab w:val="center" w:pos="4806"/>
        </w:tabs>
        <w:jc w:val="center"/>
        <w:rPr>
          <w:b/>
        </w:rPr>
      </w:pPr>
    </w:p>
    <w:p w14:paraId="16F48C66" w14:textId="77777777" w:rsidR="00B22682" w:rsidRDefault="00B22682" w:rsidP="000B10A3">
      <w:pPr>
        <w:tabs>
          <w:tab w:val="left" w:pos="1635"/>
          <w:tab w:val="center" w:pos="4806"/>
        </w:tabs>
        <w:jc w:val="center"/>
        <w:rPr>
          <w:b/>
        </w:rPr>
      </w:pPr>
    </w:p>
    <w:p w14:paraId="73C99055" w14:textId="0608B42B" w:rsidR="00AD78E2" w:rsidRDefault="00411B37" w:rsidP="000B10A3">
      <w:pPr>
        <w:tabs>
          <w:tab w:val="left" w:pos="1635"/>
          <w:tab w:val="center" w:pos="4806"/>
        </w:tabs>
        <w:jc w:val="center"/>
        <w:rPr>
          <w:b/>
        </w:rPr>
      </w:pPr>
      <w:r w:rsidRPr="00C22525">
        <w:rPr>
          <w:b/>
        </w:rPr>
        <w:lastRenderedPageBreak/>
        <w:t>FINANCIAL</w:t>
      </w:r>
      <w:bookmarkEnd w:id="0"/>
      <w:r w:rsidRPr="00C22525">
        <w:rPr>
          <w:b/>
        </w:rPr>
        <w:t xml:space="preserve"> AND INVESTMENT PLANNING</w:t>
      </w:r>
    </w:p>
    <w:p w14:paraId="731024A6" w14:textId="77777777" w:rsidR="00833613" w:rsidRDefault="00833613" w:rsidP="000B10A3">
      <w:pPr>
        <w:tabs>
          <w:tab w:val="left" w:pos="1635"/>
          <w:tab w:val="center" w:pos="4806"/>
        </w:tabs>
        <w:jc w:val="center"/>
        <w:rPr>
          <w:b/>
        </w:rPr>
      </w:pPr>
    </w:p>
    <w:p w14:paraId="34CD310C" w14:textId="77777777" w:rsidR="000E620E" w:rsidRDefault="000E620E" w:rsidP="000B10A3">
      <w:pPr>
        <w:tabs>
          <w:tab w:val="left" w:pos="1635"/>
          <w:tab w:val="center" w:pos="4806"/>
        </w:tabs>
        <w:jc w:val="center"/>
        <w:rPr>
          <w:b/>
        </w:rPr>
      </w:pPr>
    </w:p>
    <w:p w14:paraId="28C2DEC1" w14:textId="77777777" w:rsidR="00B5152F" w:rsidRDefault="00241F4B" w:rsidP="00241F4B">
      <w:pPr>
        <w:tabs>
          <w:tab w:val="left" w:pos="720"/>
          <w:tab w:val="center" w:pos="4806"/>
        </w:tabs>
        <w:ind w:firstLine="0"/>
        <w:rPr>
          <w:bCs/>
        </w:rPr>
      </w:pPr>
      <w:r>
        <w:rPr>
          <w:bCs/>
        </w:rPr>
        <w:tab/>
        <w:t xml:space="preserve">As you might know, there is a phenomenon called reversion to the mean. </w:t>
      </w:r>
    </w:p>
    <w:p w14:paraId="700B756D" w14:textId="074D399B" w:rsidR="00B5152F" w:rsidRDefault="00B5152F" w:rsidP="00B5152F">
      <w:pPr>
        <w:tabs>
          <w:tab w:val="left" w:pos="720"/>
          <w:tab w:val="center" w:pos="4806"/>
        </w:tabs>
        <w:ind w:firstLine="0"/>
        <w:rPr>
          <w:bCs/>
        </w:rPr>
      </w:pPr>
      <w:r>
        <w:rPr>
          <w:bCs/>
        </w:rPr>
        <w:tab/>
      </w:r>
      <w:r w:rsidR="00241F4B">
        <w:rPr>
          <w:bCs/>
        </w:rPr>
        <w:t xml:space="preserve">The technical </w:t>
      </w:r>
      <w:r>
        <w:rPr>
          <w:bCs/>
        </w:rPr>
        <w:t>d</w:t>
      </w:r>
      <w:r w:rsidR="00241F4B">
        <w:rPr>
          <w:bCs/>
        </w:rPr>
        <w:t>efinition</w:t>
      </w:r>
      <w:r>
        <w:rPr>
          <w:bCs/>
        </w:rPr>
        <w:t xml:space="preserve"> is</w:t>
      </w:r>
      <w:r w:rsidR="00241F4B">
        <w:rPr>
          <w:bCs/>
        </w:rPr>
        <w:t xml:space="preserve">: the statistical phenomenon stating that the greater the deviation of a random variate from the mean, the greater the probability that the next measured variate will deviate less. </w:t>
      </w:r>
      <w:r>
        <w:rPr>
          <w:bCs/>
        </w:rPr>
        <w:t>In financial theory, this means that asset prices and historical returns eventually revert to their long-term average level.</w:t>
      </w:r>
    </w:p>
    <w:p w14:paraId="5C268867" w14:textId="509FBE3B" w:rsidR="00241F4B" w:rsidRDefault="00241F4B" w:rsidP="00241F4B">
      <w:pPr>
        <w:tabs>
          <w:tab w:val="left" w:pos="720"/>
          <w:tab w:val="center" w:pos="4806"/>
        </w:tabs>
        <w:ind w:firstLine="0"/>
        <w:rPr>
          <w:bCs/>
        </w:rPr>
      </w:pPr>
      <w:r>
        <w:rPr>
          <w:bCs/>
        </w:rPr>
        <w:tab/>
        <w:t xml:space="preserve">I bet you are really glad to learn this. </w:t>
      </w:r>
    </w:p>
    <w:p w14:paraId="2932E721" w14:textId="4670CA3E" w:rsidR="00241F4B" w:rsidRDefault="00B5152F" w:rsidP="00241F4B">
      <w:pPr>
        <w:tabs>
          <w:tab w:val="left" w:pos="720"/>
          <w:tab w:val="center" w:pos="4806"/>
        </w:tabs>
        <w:ind w:firstLine="0"/>
        <w:rPr>
          <w:bCs/>
        </w:rPr>
      </w:pPr>
      <w:r>
        <w:rPr>
          <w:bCs/>
        </w:rPr>
        <w:tab/>
      </w:r>
      <w:r w:rsidR="00241F4B">
        <w:rPr>
          <w:bCs/>
        </w:rPr>
        <w:t>I bring up this fascinating topic, because I want to share some information about investing in international stocks, and why that may be an attractive idea.</w:t>
      </w:r>
    </w:p>
    <w:p w14:paraId="6A983E11" w14:textId="44A241B9" w:rsidR="00241F4B" w:rsidRDefault="00241F4B" w:rsidP="00241F4B">
      <w:pPr>
        <w:tabs>
          <w:tab w:val="left" w:pos="720"/>
          <w:tab w:val="center" w:pos="4806"/>
        </w:tabs>
        <w:ind w:firstLine="0"/>
        <w:rPr>
          <w:bCs/>
        </w:rPr>
      </w:pPr>
      <w:r>
        <w:rPr>
          <w:bCs/>
        </w:rPr>
        <w:tab/>
        <w:t xml:space="preserve">Here I want to quote from a November </w:t>
      </w:r>
      <w:r w:rsidR="0022169E">
        <w:rPr>
          <w:bCs/>
        </w:rPr>
        <w:t>10</w:t>
      </w:r>
      <w:r w:rsidR="0022169E" w:rsidRPr="0022169E">
        <w:rPr>
          <w:bCs/>
          <w:vertAlign w:val="superscript"/>
        </w:rPr>
        <w:t>th</w:t>
      </w:r>
      <w:r w:rsidR="0022169E">
        <w:rPr>
          <w:bCs/>
        </w:rPr>
        <w:t xml:space="preserve"> </w:t>
      </w:r>
      <w:r>
        <w:rPr>
          <w:bCs/>
        </w:rPr>
        <w:t xml:space="preserve">issue of the </w:t>
      </w:r>
      <w:r w:rsidRPr="00867D3A">
        <w:rPr>
          <w:bCs/>
          <w:i/>
          <w:iCs/>
        </w:rPr>
        <w:t>Wall Street Journal</w:t>
      </w:r>
      <w:r w:rsidR="00867D3A">
        <w:rPr>
          <w:bCs/>
        </w:rPr>
        <w:t>:</w:t>
      </w:r>
    </w:p>
    <w:p w14:paraId="28D3C7EC" w14:textId="77777777" w:rsidR="00833613" w:rsidRDefault="00833613" w:rsidP="00241F4B">
      <w:pPr>
        <w:tabs>
          <w:tab w:val="left" w:pos="720"/>
          <w:tab w:val="center" w:pos="4806"/>
        </w:tabs>
        <w:ind w:firstLine="0"/>
        <w:rPr>
          <w:bCs/>
        </w:rPr>
      </w:pPr>
    </w:p>
    <w:p w14:paraId="4F63B208" w14:textId="77777777" w:rsidR="006B0C6A" w:rsidRDefault="006B0C6A" w:rsidP="00241F4B">
      <w:pPr>
        <w:tabs>
          <w:tab w:val="left" w:pos="720"/>
          <w:tab w:val="center" w:pos="4806"/>
        </w:tabs>
        <w:ind w:firstLine="0"/>
        <w:rPr>
          <w:bCs/>
        </w:rPr>
      </w:pPr>
    </w:p>
    <w:p w14:paraId="418ED3A4" w14:textId="77777777" w:rsidR="006B0C6A" w:rsidRPr="00867D3A" w:rsidRDefault="006B0C6A" w:rsidP="00241F4B">
      <w:pPr>
        <w:tabs>
          <w:tab w:val="left" w:pos="720"/>
          <w:tab w:val="center" w:pos="4806"/>
        </w:tabs>
        <w:ind w:firstLine="0"/>
        <w:rPr>
          <w:bCs/>
        </w:rPr>
      </w:pPr>
    </w:p>
    <w:p w14:paraId="6EBD4E5A" w14:textId="77777777" w:rsidR="00241F4B" w:rsidRDefault="00241F4B" w:rsidP="00241F4B">
      <w:pPr>
        <w:tabs>
          <w:tab w:val="left" w:pos="720"/>
          <w:tab w:val="center" w:pos="4806"/>
        </w:tabs>
        <w:ind w:firstLine="0"/>
        <w:rPr>
          <w:bCs/>
        </w:rPr>
      </w:pPr>
    </w:p>
    <w:p w14:paraId="56E13A9A" w14:textId="77777777" w:rsidR="00241F4B" w:rsidRDefault="00241F4B" w:rsidP="00241F4B">
      <w:pPr>
        <w:tabs>
          <w:tab w:val="left" w:pos="720"/>
          <w:tab w:val="left" w:pos="1290"/>
          <w:tab w:val="center" w:pos="4806"/>
        </w:tabs>
        <w:ind w:left="720" w:firstLine="0"/>
        <w:rPr>
          <w:bCs/>
        </w:rPr>
      </w:pPr>
      <w:r>
        <w:rPr>
          <w:bCs/>
        </w:rPr>
        <w:tab/>
      </w:r>
      <w:r>
        <w:rPr>
          <w:bCs/>
        </w:rPr>
        <w:tab/>
        <w:t>A record number of Americans have been planning a foreign vacation. They should</w:t>
      </w:r>
    </w:p>
    <w:p w14:paraId="0618C17A" w14:textId="14A38A70" w:rsidR="00241F4B" w:rsidRDefault="00241F4B" w:rsidP="00241F4B">
      <w:pPr>
        <w:tabs>
          <w:tab w:val="left" w:pos="720"/>
          <w:tab w:val="left" w:pos="1290"/>
          <w:tab w:val="center" w:pos="4806"/>
        </w:tabs>
        <w:ind w:left="720" w:firstLine="0"/>
        <w:rPr>
          <w:bCs/>
        </w:rPr>
      </w:pPr>
      <w:r>
        <w:rPr>
          <w:bCs/>
        </w:rPr>
        <w:tab/>
        <w:t>take their stock portfolios along with them.</w:t>
      </w:r>
    </w:p>
    <w:p w14:paraId="409F3335" w14:textId="77777777" w:rsidR="00241F4B" w:rsidRDefault="00241F4B" w:rsidP="00241F4B">
      <w:pPr>
        <w:tabs>
          <w:tab w:val="left" w:pos="720"/>
          <w:tab w:val="left" w:pos="1290"/>
          <w:tab w:val="center" w:pos="4806"/>
        </w:tabs>
        <w:ind w:left="720" w:firstLine="0"/>
        <w:rPr>
          <w:bCs/>
        </w:rPr>
      </w:pPr>
    </w:p>
    <w:p w14:paraId="4D0965E5" w14:textId="1E8E5D7B" w:rsidR="00241F4B" w:rsidRDefault="00241F4B" w:rsidP="00241F4B">
      <w:pPr>
        <w:tabs>
          <w:tab w:val="left" w:pos="720"/>
          <w:tab w:val="left" w:pos="1290"/>
          <w:tab w:val="center" w:pos="4806"/>
        </w:tabs>
        <w:ind w:left="1290" w:firstLine="0"/>
        <w:rPr>
          <w:bCs/>
        </w:rPr>
      </w:pPr>
      <w:r>
        <w:rPr>
          <w:bCs/>
        </w:rPr>
        <w:tab/>
        <w:t xml:space="preserve">Keeping too much of your money where you live is a classic financial error called </w:t>
      </w:r>
      <w:r>
        <w:rPr>
          <w:bCs/>
        </w:rPr>
        <w:tab/>
      </w:r>
      <w:r>
        <w:rPr>
          <w:bCs/>
        </w:rPr>
        <w:tab/>
        <w:t>home-country bias – but it has been a lucky mistake lately. Not diversifying has paid off.</w:t>
      </w:r>
    </w:p>
    <w:p w14:paraId="0F6E3A9D" w14:textId="77777777" w:rsidR="00241F4B" w:rsidRDefault="00241F4B" w:rsidP="00241F4B">
      <w:pPr>
        <w:tabs>
          <w:tab w:val="left" w:pos="720"/>
          <w:tab w:val="left" w:pos="1290"/>
          <w:tab w:val="center" w:pos="4806"/>
        </w:tabs>
        <w:ind w:left="1290" w:firstLine="0"/>
        <w:rPr>
          <w:bCs/>
        </w:rPr>
      </w:pPr>
    </w:p>
    <w:p w14:paraId="1D48A37F" w14:textId="45E0F221" w:rsidR="00241F4B" w:rsidRDefault="00241F4B" w:rsidP="00241F4B">
      <w:pPr>
        <w:tabs>
          <w:tab w:val="left" w:pos="720"/>
          <w:tab w:val="left" w:pos="1290"/>
          <w:tab w:val="center" w:pos="4806"/>
        </w:tabs>
        <w:ind w:left="1290" w:firstLine="0"/>
        <w:rPr>
          <w:bCs/>
        </w:rPr>
      </w:pPr>
      <w:r>
        <w:rPr>
          <w:bCs/>
        </w:rPr>
        <w:t xml:space="preserve">Doing the wrong thing and getting the right result is no reason to keep doing it, though. In fact, it makes this an especially good time to diversify and look at the other three-quarters of the world’s economy. Foreign stocks look like a bargain. </w:t>
      </w:r>
    </w:p>
    <w:p w14:paraId="1124ADAD" w14:textId="77777777" w:rsidR="00241F4B" w:rsidRDefault="00241F4B" w:rsidP="00241F4B">
      <w:pPr>
        <w:tabs>
          <w:tab w:val="left" w:pos="720"/>
          <w:tab w:val="left" w:pos="1290"/>
          <w:tab w:val="center" w:pos="4806"/>
        </w:tabs>
        <w:ind w:left="1290" w:firstLine="0"/>
        <w:rPr>
          <w:bCs/>
        </w:rPr>
      </w:pPr>
    </w:p>
    <w:p w14:paraId="51D62645" w14:textId="5BD73CC9" w:rsidR="00241F4B" w:rsidRDefault="00241F4B" w:rsidP="00241F4B">
      <w:pPr>
        <w:tabs>
          <w:tab w:val="left" w:pos="720"/>
          <w:tab w:val="left" w:pos="1290"/>
          <w:tab w:val="center" w:pos="4806"/>
        </w:tabs>
        <w:ind w:left="1290" w:firstLine="0"/>
        <w:rPr>
          <w:bCs/>
        </w:rPr>
      </w:pPr>
      <w:r>
        <w:rPr>
          <w:bCs/>
        </w:rPr>
        <w:t>In 2009 valuations of foreign and domestic stocks were very similar</w:t>
      </w:r>
      <w:r w:rsidR="0022169E">
        <w:rPr>
          <w:bCs/>
        </w:rPr>
        <w:t>,</w:t>
      </w:r>
      <w:r>
        <w:rPr>
          <w:bCs/>
        </w:rPr>
        <w:t xml:space="preserve"> and </w:t>
      </w:r>
      <w:r w:rsidR="0022169E">
        <w:rPr>
          <w:bCs/>
        </w:rPr>
        <w:t>[for]</w:t>
      </w:r>
      <w:r>
        <w:rPr>
          <w:bCs/>
        </w:rPr>
        <w:t xml:space="preserve"> most years in history</w:t>
      </w:r>
      <w:r w:rsidR="0022169E">
        <w:rPr>
          <w:bCs/>
        </w:rPr>
        <w:t>,</w:t>
      </w:r>
      <w:r>
        <w:rPr>
          <w:bCs/>
        </w:rPr>
        <w:t xml:space="preserve"> guessing which would do better was “basically a coin flip.</w:t>
      </w:r>
      <w:r w:rsidR="00D52FB3">
        <w:rPr>
          <w:bCs/>
        </w:rPr>
        <w:t>”</w:t>
      </w:r>
      <w:r>
        <w:rPr>
          <w:bCs/>
        </w:rPr>
        <w:t xml:space="preserve"> Yet during the 15 years through this October, owning a basket of U.S. stocks tracked by index provider MSCI left buyers with nearly six times their money before taxes. </w:t>
      </w:r>
    </w:p>
    <w:p w14:paraId="74A618E1" w14:textId="77777777" w:rsidR="00D52FB3" w:rsidRDefault="00D52FB3" w:rsidP="00241F4B">
      <w:pPr>
        <w:tabs>
          <w:tab w:val="left" w:pos="720"/>
          <w:tab w:val="left" w:pos="1290"/>
          <w:tab w:val="center" w:pos="4806"/>
        </w:tabs>
        <w:ind w:left="1290" w:firstLine="0"/>
        <w:rPr>
          <w:bCs/>
        </w:rPr>
      </w:pPr>
    </w:p>
    <w:p w14:paraId="06915807" w14:textId="540D3BD9" w:rsidR="00D52FB3" w:rsidRDefault="00D52FB3" w:rsidP="00241F4B">
      <w:pPr>
        <w:tabs>
          <w:tab w:val="left" w:pos="720"/>
          <w:tab w:val="left" w:pos="1290"/>
          <w:tab w:val="center" w:pos="4806"/>
        </w:tabs>
        <w:ind w:left="1290" w:firstLine="0"/>
        <w:rPr>
          <w:bCs/>
        </w:rPr>
      </w:pPr>
      <w:r>
        <w:rPr>
          <w:bCs/>
        </w:rPr>
        <w:t xml:space="preserve">Since 1970, though, there have been six stretches when foreign developed-market stocks trounced their U.S. counterparts. In the most extreme example, during a six-year span in the 1980s, foreign stocks beat American ones by 374 percent points, according to JPMorgan. </w:t>
      </w:r>
    </w:p>
    <w:p w14:paraId="5DFC1C79" w14:textId="77777777" w:rsidR="006B0C6A" w:rsidRDefault="006B0C6A" w:rsidP="00241F4B">
      <w:pPr>
        <w:tabs>
          <w:tab w:val="left" w:pos="720"/>
          <w:tab w:val="left" w:pos="1290"/>
          <w:tab w:val="center" w:pos="4806"/>
        </w:tabs>
        <w:ind w:left="1290" w:firstLine="0"/>
        <w:rPr>
          <w:bCs/>
        </w:rPr>
      </w:pPr>
    </w:p>
    <w:p w14:paraId="5FD93CEF" w14:textId="77777777" w:rsidR="006B0C6A" w:rsidRDefault="006B0C6A" w:rsidP="00241F4B">
      <w:pPr>
        <w:tabs>
          <w:tab w:val="left" w:pos="720"/>
          <w:tab w:val="left" w:pos="1290"/>
          <w:tab w:val="center" w:pos="4806"/>
        </w:tabs>
        <w:ind w:left="1290" w:firstLine="0"/>
        <w:rPr>
          <w:bCs/>
        </w:rPr>
      </w:pPr>
    </w:p>
    <w:p w14:paraId="4549E319" w14:textId="5A40E186" w:rsidR="00241F4B" w:rsidRPr="00241F4B" w:rsidRDefault="00241F4B" w:rsidP="00241F4B">
      <w:pPr>
        <w:tabs>
          <w:tab w:val="left" w:pos="720"/>
          <w:tab w:val="left" w:pos="1290"/>
          <w:tab w:val="center" w:pos="4806"/>
        </w:tabs>
        <w:ind w:firstLine="0"/>
        <w:rPr>
          <w:bCs/>
        </w:rPr>
      </w:pPr>
      <w:r>
        <w:rPr>
          <w:bCs/>
        </w:rPr>
        <w:tab/>
      </w:r>
    </w:p>
    <w:p w14:paraId="69AA7BB7" w14:textId="77777777" w:rsidR="000F26A5" w:rsidRDefault="000F26A5" w:rsidP="000E620E">
      <w:pPr>
        <w:tabs>
          <w:tab w:val="left" w:pos="1635"/>
          <w:tab w:val="center" w:pos="4806"/>
        </w:tabs>
        <w:ind w:firstLine="0"/>
        <w:rPr>
          <w:b/>
        </w:rPr>
      </w:pPr>
    </w:p>
    <w:p w14:paraId="4F8A7CD7" w14:textId="29210F20" w:rsidR="00631213" w:rsidRDefault="005F38BE" w:rsidP="005F38BE">
      <w:pPr>
        <w:tabs>
          <w:tab w:val="left" w:pos="810"/>
          <w:tab w:val="center" w:pos="4806"/>
        </w:tabs>
        <w:ind w:firstLine="0"/>
        <w:rPr>
          <w:bCs/>
        </w:rPr>
      </w:pPr>
      <w:r>
        <w:rPr>
          <w:b/>
        </w:rPr>
        <w:tab/>
      </w:r>
      <w:r>
        <w:rPr>
          <w:bCs/>
        </w:rPr>
        <w:t xml:space="preserve">You may have noticed that we had a chart/graph in last month’s letter. Lindsey believes it is easier to understand information in this fashion, and so you can expect to see more charts/graphs in future letters. </w:t>
      </w:r>
    </w:p>
    <w:p w14:paraId="5FA2D560" w14:textId="77777777" w:rsidR="00631213" w:rsidRDefault="00631213" w:rsidP="005F38BE">
      <w:pPr>
        <w:tabs>
          <w:tab w:val="left" w:pos="810"/>
          <w:tab w:val="center" w:pos="4806"/>
        </w:tabs>
        <w:ind w:firstLine="0"/>
        <w:rPr>
          <w:bCs/>
        </w:rPr>
      </w:pPr>
    </w:p>
    <w:p w14:paraId="3CEBEF28" w14:textId="77777777" w:rsidR="00631213" w:rsidRDefault="00631213" w:rsidP="005F38BE">
      <w:pPr>
        <w:tabs>
          <w:tab w:val="left" w:pos="810"/>
          <w:tab w:val="center" w:pos="4806"/>
        </w:tabs>
        <w:ind w:firstLine="0"/>
        <w:rPr>
          <w:bCs/>
        </w:rPr>
      </w:pPr>
    </w:p>
    <w:p w14:paraId="0FAFEFFA" w14:textId="77777777" w:rsidR="00631213" w:rsidRDefault="00631213" w:rsidP="005F38BE">
      <w:pPr>
        <w:tabs>
          <w:tab w:val="left" w:pos="810"/>
          <w:tab w:val="center" w:pos="4806"/>
        </w:tabs>
        <w:ind w:firstLine="0"/>
        <w:rPr>
          <w:bCs/>
        </w:rPr>
      </w:pPr>
    </w:p>
    <w:p w14:paraId="61384950" w14:textId="77323F28" w:rsidR="00662212" w:rsidRDefault="00662212" w:rsidP="005F38BE">
      <w:pPr>
        <w:tabs>
          <w:tab w:val="left" w:pos="810"/>
          <w:tab w:val="center" w:pos="4806"/>
        </w:tabs>
        <w:ind w:firstLine="0"/>
        <w:rPr>
          <w:bCs/>
        </w:rPr>
      </w:pPr>
    </w:p>
    <w:p w14:paraId="7D1AFE12" w14:textId="24027FD1" w:rsidR="00662212" w:rsidRDefault="00662212" w:rsidP="005F38BE">
      <w:pPr>
        <w:tabs>
          <w:tab w:val="left" w:pos="810"/>
          <w:tab w:val="center" w:pos="4806"/>
        </w:tabs>
        <w:ind w:firstLine="0"/>
        <w:rPr>
          <w:bCs/>
        </w:rPr>
      </w:pPr>
    </w:p>
    <w:p w14:paraId="6B76BFFF" w14:textId="026BBF55" w:rsidR="00662212" w:rsidRDefault="00662212" w:rsidP="005F38BE">
      <w:pPr>
        <w:tabs>
          <w:tab w:val="left" w:pos="810"/>
          <w:tab w:val="center" w:pos="4806"/>
        </w:tabs>
        <w:ind w:firstLine="0"/>
        <w:rPr>
          <w:bCs/>
        </w:rPr>
      </w:pPr>
    </w:p>
    <w:p w14:paraId="1FDD2361" w14:textId="7190F729" w:rsidR="00662212" w:rsidRDefault="00662212" w:rsidP="005F38BE">
      <w:pPr>
        <w:tabs>
          <w:tab w:val="left" w:pos="810"/>
          <w:tab w:val="center" w:pos="4806"/>
        </w:tabs>
        <w:ind w:firstLine="0"/>
        <w:rPr>
          <w:bCs/>
        </w:rPr>
      </w:pPr>
    </w:p>
    <w:p w14:paraId="7021CB3A" w14:textId="6923C1C5" w:rsidR="008D602B" w:rsidRDefault="005F38BE" w:rsidP="005F38BE">
      <w:pPr>
        <w:tabs>
          <w:tab w:val="left" w:pos="810"/>
          <w:tab w:val="center" w:pos="4806"/>
        </w:tabs>
        <w:ind w:firstLine="0"/>
        <w:rPr>
          <w:bCs/>
        </w:rPr>
      </w:pPr>
      <w:r>
        <w:rPr>
          <w:bCs/>
        </w:rPr>
        <w:lastRenderedPageBreak/>
        <w:tab/>
        <w:t xml:space="preserve">Here is a graphic representation of the periods of domestic and international equity performance. </w:t>
      </w:r>
    </w:p>
    <w:p w14:paraId="1EBD186A" w14:textId="77777777" w:rsidR="005F38BE" w:rsidRDefault="005F38BE" w:rsidP="005F38BE">
      <w:pPr>
        <w:tabs>
          <w:tab w:val="left" w:pos="810"/>
          <w:tab w:val="center" w:pos="4806"/>
        </w:tabs>
        <w:ind w:firstLine="0"/>
        <w:rPr>
          <w:bCs/>
        </w:rPr>
      </w:pPr>
    </w:p>
    <w:p w14:paraId="64841A39" w14:textId="77777777" w:rsidR="00833613" w:rsidRDefault="00833613" w:rsidP="005F38BE">
      <w:pPr>
        <w:tabs>
          <w:tab w:val="left" w:pos="810"/>
          <w:tab w:val="center" w:pos="4806"/>
        </w:tabs>
        <w:ind w:firstLine="0"/>
        <w:rPr>
          <w:bCs/>
        </w:rPr>
      </w:pPr>
    </w:p>
    <w:p w14:paraId="788F0AEC" w14:textId="62CEC76D" w:rsidR="005F38BE" w:rsidRDefault="00867D3A" w:rsidP="008B63A5">
      <w:pPr>
        <w:tabs>
          <w:tab w:val="left" w:pos="810"/>
          <w:tab w:val="center" w:pos="4806"/>
        </w:tabs>
        <w:ind w:firstLine="0"/>
        <w:jc w:val="center"/>
        <w:rPr>
          <w:bCs/>
        </w:rPr>
      </w:pPr>
      <w:r w:rsidRPr="00867D3A">
        <w:rPr>
          <w:bCs/>
          <w:noProof/>
        </w:rPr>
        <w:drawing>
          <wp:inline distT="0" distB="0" distL="0" distR="0" wp14:anchorId="31C59650" wp14:editId="2E846589">
            <wp:extent cx="5067739" cy="2735817"/>
            <wp:effectExtent l="0" t="0" r="0" b="7620"/>
            <wp:docPr id="1182940898" name="Picture 1" descr="A graph of a graph of performan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940898" name="Picture 1" descr="A graph of a graph of performance&#10;&#10;Description automatically generated with medium confidence"/>
                    <pic:cNvPicPr/>
                  </pic:nvPicPr>
                  <pic:blipFill>
                    <a:blip r:embed="rId8"/>
                    <a:stretch>
                      <a:fillRect/>
                    </a:stretch>
                  </pic:blipFill>
                  <pic:spPr>
                    <a:xfrm>
                      <a:off x="0" y="0"/>
                      <a:ext cx="5067739" cy="2735817"/>
                    </a:xfrm>
                    <a:prstGeom prst="rect">
                      <a:avLst/>
                    </a:prstGeom>
                  </pic:spPr>
                </pic:pic>
              </a:graphicData>
            </a:graphic>
          </wp:inline>
        </w:drawing>
      </w:r>
    </w:p>
    <w:p w14:paraId="77EF19B0" w14:textId="70132F3F" w:rsidR="005479C5" w:rsidRPr="006079F1" w:rsidRDefault="005479C5" w:rsidP="006079F1">
      <w:pPr>
        <w:jc w:val="both"/>
        <w:rPr>
          <w:rFonts w:eastAsia="Calibri"/>
          <w:b/>
          <w:bCs/>
          <w:kern w:val="2"/>
          <w:sz w:val="16"/>
          <w:szCs w:val="16"/>
          <w:lang w:bidi="ar-SA"/>
          <w14:ligatures w14:val="standardContextual"/>
        </w:rPr>
      </w:pPr>
      <w:r w:rsidRPr="006079F1">
        <w:rPr>
          <w:rFonts w:eastAsia="Calibri"/>
          <w:b/>
          <w:bCs/>
          <w:kern w:val="2"/>
          <w:sz w:val="16"/>
          <w:szCs w:val="16"/>
          <w:lang w:bidi="ar-SA"/>
          <w14:ligatures w14:val="standardContextual"/>
        </w:rPr>
        <w:t xml:space="preserve">Source: FactSet, MSCI, </w:t>
      </w:r>
      <w:proofErr w:type="spellStart"/>
      <w:r w:rsidRPr="006079F1">
        <w:rPr>
          <w:rFonts w:eastAsia="Calibri"/>
          <w:b/>
          <w:bCs/>
          <w:kern w:val="2"/>
          <w:sz w:val="16"/>
          <w:szCs w:val="16"/>
          <w:lang w:bidi="ar-SA"/>
          <w14:ligatures w14:val="standardContextual"/>
        </w:rPr>
        <w:t>J.P</w:t>
      </w:r>
      <w:proofErr w:type="spellEnd"/>
      <w:r w:rsidRPr="006079F1">
        <w:rPr>
          <w:rFonts w:eastAsia="Calibri"/>
          <w:b/>
          <w:bCs/>
          <w:kern w:val="2"/>
          <w:sz w:val="16"/>
          <w:szCs w:val="16"/>
          <w:lang w:bidi="ar-SA"/>
          <w14:ligatures w14:val="standardContextual"/>
        </w:rPr>
        <w:t xml:space="preserve"> Morgan Asset Management</w:t>
      </w:r>
      <w:r w:rsidR="006079F1" w:rsidRPr="006079F1">
        <w:rPr>
          <w:rFonts w:eastAsia="Calibri"/>
          <w:b/>
          <w:bCs/>
          <w:kern w:val="2"/>
          <w:sz w:val="16"/>
          <w:szCs w:val="16"/>
          <w:lang w:bidi="ar-SA"/>
          <w14:ligatures w14:val="standardContextual"/>
        </w:rPr>
        <w:t xml:space="preserve"> </w:t>
      </w:r>
    </w:p>
    <w:p w14:paraId="2AB97E22" w14:textId="77777777" w:rsidR="005479C5" w:rsidRPr="006079F1" w:rsidRDefault="005479C5" w:rsidP="006079F1">
      <w:pPr>
        <w:ind w:left="720" w:firstLine="0"/>
        <w:jc w:val="both"/>
        <w:rPr>
          <w:rFonts w:eastAsia="Calibri"/>
          <w:b/>
          <w:bCs/>
          <w:kern w:val="2"/>
          <w:sz w:val="16"/>
          <w:szCs w:val="16"/>
          <w:lang w:bidi="ar-SA"/>
          <w14:ligatures w14:val="standardContextual"/>
        </w:rPr>
      </w:pPr>
      <w:r w:rsidRPr="006079F1">
        <w:rPr>
          <w:rFonts w:eastAsia="Calibri"/>
          <w:b/>
          <w:bCs/>
          <w:kern w:val="2"/>
          <w:sz w:val="16"/>
          <w:szCs w:val="16"/>
          <w:lang w:bidi="ar-SA"/>
          <w14:ligatures w14:val="standardContextual"/>
        </w:rPr>
        <w:t xml:space="preserve">Regime change determined when cumulative outperformance peaks and is not reached again in the subsequent 12-month period. *Peak MSCI </w:t>
      </w:r>
      <w:proofErr w:type="spellStart"/>
      <w:r w:rsidRPr="006079F1">
        <w:rPr>
          <w:rFonts w:eastAsia="Calibri"/>
          <w:b/>
          <w:bCs/>
          <w:kern w:val="2"/>
          <w:sz w:val="16"/>
          <w:szCs w:val="16"/>
          <w:lang w:bidi="ar-SA"/>
          <w14:ligatures w14:val="standardContextual"/>
        </w:rPr>
        <w:t>EAFE</w:t>
      </w:r>
      <w:proofErr w:type="spellEnd"/>
      <w:r w:rsidRPr="006079F1">
        <w:rPr>
          <w:rFonts w:eastAsia="Calibri"/>
          <w:b/>
          <w:bCs/>
          <w:kern w:val="2"/>
          <w:sz w:val="16"/>
          <w:szCs w:val="16"/>
          <w:lang w:bidi="ar-SA"/>
          <w14:ligatures w14:val="standardContextual"/>
        </w:rPr>
        <w:t xml:space="preserve"> outperformance vs. MSCI USA occurred in April 2023. If this is sustained for 12 months, the regime will switch in April 2024. </w:t>
      </w:r>
      <w:r w:rsidRPr="006079F1">
        <w:rPr>
          <w:rFonts w:eastAsia="Calibri"/>
          <w:b/>
          <w:bCs/>
          <w:i/>
          <w:iCs/>
          <w:kern w:val="2"/>
          <w:sz w:val="16"/>
          <w:szCs w:val="16"/>
          <w:lang w:bidi="ar-SA"/>
          <w14:ligatures w14:val="standardContextual"/>
        </w:rPr>
        <w:t xml:space="preserve">Guide to the Markets – U.S. </w:t>
      </w:r>
      <w:r w:rsidRPr="006079F1">
        <w:rPr>
          <w:rFonts w:eastAsia="Calibri"/>
          <w:b/>
          <w:bCs/>
          <w:kern w:val="2"/>
          <w:sz w:val="16"/>
          <w:szCs w:val="16"/>
          <w:lang w:bidi="ar-SA"/>
          <w14:ligatures w14:val="standardContextual"/>
        </w:rPr>
        <w:t>Data are as of October 31, 2023.</w:t>
      </w:r>
    </w:p>
    <w:p w14:paraId="7D3B4A62" w14:textId="77777777" w:rsidR="00833613" w:rsidRDefault="00833613" w:rsidP="005F38BE">
      <w:pPr>
        <w:tabs>
          <w:tab w:val="left" w:pos="810"/>
          <w:tab w:val="center" w:pos="4806"/>
        </w:tabs>
        <w:ind w:firstLine="0"/>
        <w:rPr>
          <w:bCs/>
        </w:rPr>
      </w:pPr>
    </w:p>
    <w:p w14:paraId="254826E8" w14:textId="3BE85036" w:rsidR="005F38BE" w:rsidRDefault="005F38BE" w:rsidP="005F38BE">
      <w:pPr>
        <w:tabs>
          <w:tab w:val="left" w:pos="810"/>
          <w:tab w:val="center" w:pos="4806"/>
        </w:tabs>
        <w:ind w:firstLine="0"/>
        <w:rPr>
          <w:bCs/>
        </w:rPr>
      </w:pPr>
      <w:r>
        <w:rPr>
          <w:bCs/>
        </w:rPr>
        <w:tab/>
      </w:r>
      <w:r w:rsidR="00B707D5">
        <w:rPr>
          <w:bCs/>
        </w:rPr>
        <w:t>So why a</w:t>
      </w:r>
      <w:r w:rsidR="0065102B">
        <w:rPr>
          <w:bCs/>
        </w:rPr>
        <w:t>m</w:t>
      </w:r>
      <w:r w:rsidR="00B707D5">
        <w:rPr>
          <w:bCs/>
        </w:rPr>
        <w:t xml:space="preserve"> I sharing this information with you?</w:t>
      </w:r>
    </w:p>
    <w:p w14:paraId="18A10220" w14:textId="716C5975" w:rsidR="00B707D5" w:rsidRDefault="00B707D5" w:rsidP="005F38BE">
      <w:pPr>
        <w:tabs>
          <w:tab w:val="left" w:pos="810"/>
          <w:tab w:val="center" w:pos="4806"/>
        </w:tabs>
        <w:ind w:firstLine="0"/>
        <w:rPr>
          <w:bCs/>
        </w:rPr>
      </w:pPr>
      <w:r>
        <w:rPr>
          <w:bCs/>
        </w:rPr>
        <w:tab/>
        <w:t>We have had over 14 years of U.S. stock market outperformance when compared to international equities. Foreign equity valuations are lower than U.S. equity valuations.</w:t>
      </w:r>
    </w:p>
    <w:p w14:paraId="1DA97E7F" w14:textId="7BE72547" w:rsidR="000E620E" w:rsidRDefault="00B707D5" w:rsidP="00833613">
      <w:pPr>
        <w:tabs>
          <w:tab w:val="left" w:pos="810"/>
          <w:tab w:val="center" w:pos="4806"/>
        </w:tabs>
        <w:ind w:firstLine="0"/>
        <w:rPr>
          <w:bCs/>
        </w:rPr>
      </w:pPr>
      <w:r>
        <w:rPr>
          <w:bCs/>
        </w:rPr>
        <w:tab/>
        <w:t>Perhaps, one of these days, we may see a reversion to the mean. Who knows when. I certainly do not. However, I believe this information suggests that equity market investors should have some international exposure.</w:t>
      </w:r>
    </w:p>
    <w:p w14:paraId="33DAF234" w14:textId="77777777" w:rsidR="00631213" w:rsidRPr="00631213" w:rsidRDefault="00631213" w:rsidP="00631213">
      <w:pPr>
        <w:tabs>
          <w:tab w:val="left" w:pos="810"/>
          <w:tab w:val="center" w:pos="4806"/>
        </w:tabs>
        <w:ind w:firstLine="0"/>
        <w:rPr>
          <w:bCs/>
        </w:rPr>
      </w:pPr>
      <w:r>
        <w:rPr>
          <w:bCs/>
        </w:rPr>
        <w:tab/>
      </w:r>
      <w:r w:rsidRPr="00631213">
        <w:rPr>
          <w:bCs/>
        </w:rPr>
        <w:t xml:space="preserve">Thank you for taking the time to read the newsletter and for listening to Money Talk.   </w:t>
      </w:r>
    </w:p>
    <w:p w14:paraId="718A7CE5" w14:textId="77777777" w:rsidR="00631213" w:rsidRPr="00631213" w:rsidRDefault="00631213" w:rsidP="00631213">
      <w:pPr>
        <w:tabs>
          <w:tab w:val="left" w:pos="810"/>
          <w:tab w:val="center" w:pos="4806"/>
        </w:tabs>
        <w:ind w:firstLine="0"/>
        <w:rPr>
          <w:bCs/>
        </w:rPr>
      </w:pPr>
    </w:p>
    <w:p w14:paraId="3903D332" w14:textId="7C2D2DE0" w:rsidR="00C22391" w:rsidRDefault="00D3518D" w:rsidP="00E93EF5">
      <w:pPr>
        <w:tabs>
          <w:tab w:val="left" w:pos="1023"/>
        </w:tabs>
        <w:ind w:firstLine="0"/>
      </w:pPr>
      <w:r>
        <w:t>Warm regards,</w:t>
      </w:r>
    </w:p>
    <w:p w14:paraId="6CA2F9B1" w14:textId="77777777" w:rsidR="004B4F3B" w:rsidRDefault="004B4F3B" w:rsidP="004B4F3B">
      <w:pPr>
        <w:ind w:firstLine="0"/>
      </w:pPr>
      <w:r w:rsidRPr="007D3DE1">
        <w:rPr>
          <w:noProof/>
          <w:lang w:bidi="ar-SA"/>
        </w:rPr>
        <w:drawing>
          <wp:inline distT="0" distB="0" distL="0" distR="0" wp14:anchorId="4B8F8202" wp14:editId="5B7B5ADF">
            <wp:extent cx="1114425" cy="504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14425" cy="504825"/>
                    </a:xfrm>
                    <a:prstGeom prst="rect">
                      <a:avLst/>
                    </a:prstGeom>
                    <a:noFill/>
                    <a:ln w="9525">
                      <a:noFill/>
                      <a:miter lim="800000"/>
                      <a:headEnd/>
                      <a:tailEnd/>
                    </a:ln>
                  </pic:spPr>
                </pic:pic>
              </a:graphicData>
            </a:graphic>
          </wp:inline>
        </w:drawing>
      </w:r>
    </w:p>
    <w:p w14:paraId="38B1F210" w14:textId="77777777" w:rsidR="004B4F3B" w:rsidRDefault="004B4F3B" w:rsidP="004B4F3B">
      <w:pPr>
        <w:ind w:firstLine="0"/>
      </w:pPr>
      <w:r>
        <w:t>Carl W. Stuart</w:t>
      </w:r>
    </w:p>
    <w:p w14:paraId="6DCE80DA" w14:textId="5AADB86D" w:rsidR="00314B36" w:rsidRDefault="00314B36" w:rsidP="004B4F3B">
      <w:pPr>
        <w:ind w:firstLine="0"/>
      </w:pPr>
      <w:r>
        <w:t>Investment Advisor</w:t>
      </w:r>
    </w:p>
    <w:p w14:paraId="2E12D4B1" w14:textId="77777777" w:rsidR="00314B36" w:rsidRDefault="00314B36" w:rsidP="004B4F3B">
      <w:pPr>
        <w:ind w:firstLine="0"/>
      </w:pPr>
    </w:p>
    <w:p w14:paraId="2C26C50A" w14:textId="77777777" w:rsidR="004B4F3B" w:rsidRDefault="004B4F3B" w:rsidP="004B4F3B">
      <w:pPr>
        <w:pStyle w:val="ListParagraph"/>
        <w:numPr>
          <w:ilvl w:val="0"/>
          <w:numId w:val="1"/>
        </w:numPr>
        <w:ind w:left="0"/>
        <w:rPr>
          <w:b/>
          <w:sz w:val="22"/>
        </w:rPr>
      </w:pPr>
      <w:r w:rsidRPr="001F175C">
        <w:rPr>
          <w:b/>
          <w:sz w:val="22"/>
        </w:rPr>
        <w:t>Past performance is not indicative of future results.</w:t>
      </w:r>
    </w:p>
    <w:p w14:paraId="6661DF61" w14:textId="77777777" w:rsidR="004B4F3B" w:rsidRPr="001B273C" w:rsidRDefault="004B4F3B" w:rsidP="004B4F3B">
      <w:pPr>
        <w:pStyle w:val="ListParagraph"/>
        <w:numPr>
          <w:ilvl w:val="0"/>
          <w:numId w:val="1"/>
        </w:numPr>
        <w:ind w:left="0"/>
        <w:rPr>
          <w:b/>
          <w:sz w:val="16"/>
          <w:szCs w:val="16"/>
        </w:rPr>
      </w:pPr>
      <w:r w:rsidRPr="001B273C">
        <w:rPr>
          <w:sz w:val="16"/>
          <w:szCs w:val="16"/>
        </w:rPr>
        <w:t xml:space="preserve">The Dow Jones Industrials is an index of 30 stocks that is considered representative of the overall market. </w:t>
      </w:r>
    </w:p>
    <w:p w14:paraId="53C388C5" w14:textId="77777777" w:rsidR="004B4F3B" w:rsidRPr="001F175C" w:rsidRDefault="004B4F3B" w:rsidP="004B4F3B">
      <w:pPr>
        <w:numPr>
          <w:ilvl w:val="0"/>
          <w:numId w:val="2"/>
        </w:numPr>
        <w:ind w:left="0"/>
        <w:rPr>
          <w:sz w:val="16"/>
          <w:szCs w:val="16"/>
        </w:rPr>
      </w:pPr>
      <w:r w:rsidRPr="001F175C">
        <w:rPr>
          <w:sz w:val="16"/>
          <w:szCs w:val="16"/>
        </w:rPr>
        <w:t xml:space="preserve">The S&amp;P 500 is an unmanaged index of 500 widely held stocks that’s generally considered representative </w:t>
      </w:r>
    </w:p>
    <w:p w14:paraId="0F62C310" w14:textId="77777777" w:rsidR="004B4F3B" w:rsidRPr="001F175C" w:rsidRDefault="004B4F3B" w:rsidP="004B4F3B">
      <w:pPr>
        <w:ind w:firstLine="0"/>
        <w:rPr>
          <w:sz w:val="16"/>
          <w:szCs w:val="16"/>
        </w:rPr>
      </w:pPr>
      <w:r w:rsidRPr="001F175C">
        <w:rPr>
          <w:sz w:val="16"/>
          <w:szCs w:val="16"/>
        </w:rPr>
        <w:t>of the U.S. stock market.</w:t>
      </w:r>
    </w:p>
    <w:p w14:paraId="5AE1F9F4" w14:textId="77777777" w:rsidR="004B4F3B" w:rsidRDefault="004B4F3B" w:rsidP="004B4F3B">
      <w:pPr>
        <w:numPr>
          <w:ilvl w:val="0"/>
          <w:numId w:val="2"/>
        </w:numPr>
        <w:ind w:left="0"/>
        <w:rPr>
          <w:sz w:val="16"/>
          <w:szCs w:val="16"/>
        </w:rPr>
      </w:pPr>
      <w:r w:rsidRPr="001F175C">
        <w:rPr>
          <w:sz w:val="16"/>
          <w:szCs w:val="16"/>
        </w:rPr>
        <w:t>The NASDAQ composite is an unmanaged index of securities traded on the NASDAQ system.</w:t>
      </w:r>
    </w:p>
    <w:p w14:paraId="2A3EE7E0" w14:textId="77777777" w:rsidR="004B4F3B" w:rsidRPr="00B11BFA" w:rsidRDefault="004B4F3B" w:rsidP="004B4F3B">
      <w:pPr>
        <w:numPr>
          <w:ilvl w:val="0"/>
          <w:numId w:val="2"/>
        </w:numPr>
        <w:ind w:left="0"/>
        <w:rPr>
          <w:sz w:val="16"/>
          <w:szCs w:val="16"/>
        </w:rPr>
      </w:pPr>
      <w:r w:rsidRPr="00B11BFA">
        <w:rPr>
          <w:sz w:val="16"/>
          <w:szCs w:val="16"/>
        </w:rPr>
        <w:t xml:space="preserve">The Russell 1000 Growth Index measures the performance of those Russell 1000 companies with higher price-to-book ratios and higher forecasted growth values. </w:t>
      </w:r>
    </w:p>
    <w:p w14:paraId="4A5234DF" w14:textId="77777777" w:rsidR="004B4F3B" w:rsidRPr="00B11BFA" w:rsidRDefault="004B4F3B" w:rsidP="004B4F3B">
      <w:pPr>
        <w:numPr>
          <w:ilvl w:val="0"/>
          <w:numId w:val="2"/>
        </w:numPr>
        <w:ind w:left="0"/>
        <w:rPr>
          <w:sz w:val="16"/>
          <w:szCs w:val="16"/>
        </w:rPr>
      </w:pPr>
      <w:r w:rsidRPr="00B11BFA">
        <w:rPr>
          <w:sz w:val="16"/>
          <w:szCs w:val="16"/>
        </w:rPr>
        <w:t>The Russell 1000 Value Index measures the performance of those Russell 1000 companies with lower price-to-book ratios and lower forecasted growth values.</w:t>
      </w:r>
    </w:p>
    <w:p w14:paraId="4EC32734" w14:textId="77777777" w:rsidR="004B4F3B" w:rsidRDefault="004B4F3B" w:rsidP="004B4F3B">
      <w:pPr>
        <w:numPr>
          <w:ilvl w:val="0"/>
          <w:numId w:val="2"/>
        </w:numPr>
        <w:ind w:left="0"/>
        <w:rPr>
          <w:sz w:val="16"/>
          <w:szCs w:val="16"/>
        </w:rPr>
      </w:pPr>
      <w:r w:rsidRPr="001F175C">
        <w:rPr>
          <w:sz w:val="16"/>
          <w:szCs w:val="16"/>
        </w:rPr>
        <w:t xml:space="preserve">The Russell 2000 </w:t>
      </w:r>
      <w:r>
        <w:rPr>
          <w:sz w:val="16"/>
          <w:szCs w:val="16"/>
        </w:rPr>
        <w:t>I</w:t>
      </w:r>
      <w:r w:rsidRPr="001F175C">
        <w:rPr>
          <w:sz w:val="16"/>
          <w:szCs w:val="16"/>
        </w:rPr>
        <w:t>ndex is an unmanaged index of small cap securities which generally involve greater risks.</w:t>
      </w:r>
    </w:p>
    <w:p w14:paraId="2FC3C7B7" w14:textId="77777777" w:rsidR="004B4F3B" w:rsidRDefault="004B4F3B" w:rsidP="004B4F3B">
      <w:pPr>
        <w:numPr>
          <w:ilvl w:val="0"/>
          <w:numId w:val="2"/>
        </w:numPr>
        <w:ind w:left="0"/>
        <w:rPr>
          <w:sz w:val="16"/>
          <w:szCs w:val="16"/>
        </w:rPr>
      </w:pPr>
      <w:r>
        <w:rPr>
          <w:sz w:val="16"/>
          <w:szCs w:val="16"/>
        </w:rPr>
        <w:t>The Russell 2000 Growth Index m</w:t>
      </w:r>
      <w:r w:rsidRPr="002F57E8">
        <w:rPr>
          <w:sz w:val="16"/>
          <w:szCs w:val="16"/>
        </w:rPr>
        <w:t>easures the performance of the small-cap growth segment of the U.S. equities.</w:t>
      </w:r>
    </w:p>
    <w:p w14:paraId="04D17872" w14:textId="77777777" w:rsidR="004B4F3B" w:rsidRPr="00F16E6D" w:rsidRDefault="004B4F3B" w:rsidP="004B4F3B">
      <w:pPr>
        <w:numPr>
          <w:ilvl w:val="0"/>
          <w:numId w:val="2"/>
        </w:numPr>
        <w:ind w:left="0"/>
        <w:rPr>
          <w:sz w:val="16"/>
          <w:szCs w:val="16"/>
        </w:rPr>
      </w:pPr>
      <w:r>
        <w:rPr>
          <w:sz w:val="16"/>
          <w:szCs w:val="16"/>
        </w:rPr>
        <w:t>The Russell 2000 Value Index m</w:t>
      </w:r>
      <w:r w:rsidRPr="00F16E6D">
        <w:rPr>
          <w:sz w:val="16"/>
          <w:szCs w:val="16"/>
        </w:rPr>
        <w:t>easures the performance of the small-cap value segment of the U.S. equities.</w:t>
      </w:r>
    </w:p>
    <w:p w14:paraId="73067365" w14:textId="77777777" w:rsidR="004B4F3B" w:rsidRPr="00BA1D42" w:rsidRDefault="004B4F3B" w:rsidP="004B4F3B">
      <w:pPr>
        <w:numPr>
          <w:ilvl w:val="0"/>
          <w:numId w:val="2"/>
        </w:numPr>
        <w:ind w:left="0"/>
        <w:rPr>
          <w:sz w:val="16"/>
          <w:szCs w:val="16"/>
        </w:rPr>
      </w:pPr>
      <w:r w:rsidRPr="00BA1D42">
        <w:rPr>
          <w:sz w:val="16"/>
          <w:szCs w:val="16"/>
        </w:rPr>
        <w:t>The Barclays Capital U.S. Aggregate Index is an unmanaged market value weighted performance benchmark for investment-grade fixed rate debt issues, including government, corporate, asset backed, mortgage backed securities with a maturity of at least 1 year.</w:t>
      </w:r>
    </w:p>
    <w:p w14:paraId="5985DC8E" w14:textId="77777777" w:rsidR="004B4F3B" w:rsidRPr="001B273C" w:rsidRDefault="004B4F3B" w:rsidP="004B4F3B">
      <w:pPr>
        <w:numPr>
          <w:ilvl w:val="0"/>
          <w:numId w:val="2"/>
        </w:numPr>
        <w:ind w:left="-360" w:firstLine="0"/>
        <w:rPr>
          <w:sz w:val="16"/>
          <w:szCs w:val="16"/>
        </w:rPr>
      </w:pPr>
      <w:r w:rsidRPr="001B273C">
        <w:rPr>
          <w:sz w:val="16"/>
          <w:szCs w:val="16"/>
        </w:rPr>
        <w:t xml:space="preserve">All investing involves some degree of risk, investors may incur a profit or loss regardless of the strategy or strategies employed. </w:t>
      </w:r>
    </w:p>
    <w:p w14:paraId="5496D857" w14:textId="28326B48" w:rsidR="00D322CF" w:rsidRDefault="004B4F3B" w:rsidP="004B4F3B">
      <w:pPr>
        <w:ind w:firstLine="0"/>
        <w:rPr>
          <w:sz w:val="16"/>
          <w:szCs w:val="16"/>
        </w:rPr>
      </w:pPr>
      <w:r w:rsidRPr="001B273C">
        <w:rPr>
          <w:sz w:val="16"/>
          <w:szCs w:val="16"/>
        </w:rPr>
        <w:t xml:space="preserve">Investments mentioned may not be suitable for all investors. </w:t>
      </w:r>
    </w:p>
    <w:sectPr w:rsidR="00D322CF" w:rsidSect="009C5525">
      <w:footerReference w:type="default" r:id="rId10"/>
      <w:pgSz w:w="12240" w:h="15840" w:code="1"/>
      <w:pgMar w:top="1008" w:right="1440" w:bottom="72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2561E" w14:textId="77777777" w:rsidR="00D40D4A" w:rsidRDefault="00D40D4A">
      <w:r>
        <w:separator/>
      </w:r>
    </w:p>
  </w:endnote>
  <w:endnote w:type="continuationSeparator" w:id="0">
    <w:p w14:paraId="69608C7D" w14:textId="77777777" w:rsidR="00D40D4A" w:rsidRDefault="00D4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8DA6" w14:textId="77777777" w:rsidR="0078706B" w:rsidRDefault="0078706B" w:rsidP="001341F4">
    <w:pPr>
      <w:pStyle w:val="Footer"/>
      <w:tabs>
        <w:tab w:val="center" w:pos="4752"/>
        <w:tab w:val="left" w:pos="5028"/>
        <w:tab w:val="left" w:pos="52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6A06" w14:textId="77777777" w:rsidR="00D40D4A" w:rsidRDefault="00D40D4A">
      <w:r>
        <w:separator/>
      </w:r>
    </w:p>
  </w:footnote>
  <w:footnote w:type="continuationSeparator" w:id="0">
    <w:p w14:paraId="61C23ADD" w14:textId="77777777" w:rsidR="00D40D4A" w:rsidRDefault="00D40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F46CF"/>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2FA91697"/>
    <w:multiLevelType w:val="hybridMultilevel"/>
    <w:tmpl w:val="AA2CE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13C7586"/>
    <w:multiLevelType w:val="hybridMultilevel"/>
    <w:tmpl w:val="767CD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4037A42"/>
    <w:multiLevelType w:val="hybridMultilevel"/>
    <w:tmpl w:val="1CA448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4983D01"/>
    <w:multiLevelType w:val="hybridMultilevel"/>
    <w:tmpl w:val="6C766112"/>
    <w:lvl w:ilvl="0" w:tplc="2408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D3A8C"/>
    <w:multiLevelType w:val="hybridMultilevel"/>
    <w:tmpl w:val="5EFEAC4A"/>
    <w:lvl w:ilvl="0" w:tplc="106C6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9D11E3"/>
    <w:multiLevelType w:val="hybridMultilevel"/>
    <w:tmpl w:val="1B70F382"/>
    <w:lvl w:ilvl="0" w:tplc="4156DBF0">
      <w:start w:val="1"/>
      <w:numFmt w:val="upperRoman"/>
      <w:lvlText w:val="%1."/>
      <w:lvlJc w:val="left"/>
      <w:pPr>
        <w:ind w:left="840" w:hanging="360"/>
      </w:pPr>
      <w:rPr>
        <w:rFonts w:ascii="Times New Roman" w:eastAsiaTheme="minorHAnsi" w:hAnsi="Times New Roman" w:cs="Times New Roman"/>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15:restartNumberingAfterBreak="0">
    <w:nsid w:val="54405F71"/>
    <w:multiLevelType w:val="hybridMultilevel"/>
    <w:tmpl w:val="6D7CAB9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56D515F"/>
    <w:multiLevelType w:val="hybridMultilevel"/>
    <w:tmpl w:val="507E5CEE"/>
    <w:lvl w:ilvl="0" w:tplc="A426F188">
      <w:start w:val="1"/>
      <w:numFmt w:val="bullet"/>
      <w:lvlText w:val=""/>
      <w:lvlJc w:val="left"/>
      <w:pPr>
        <w:ind w:left="720" w:hanging="360"/>
      </w:pPr>
      <w:rPr>
        <w:rFonts w:ascii="Symbol" w:hAnsi="Symbol" w:hint="default"/>
        <w:sz w:val="16"/>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C4726"/>
    <w:multiLevelType w:val="hybridMultilevel"/>
    <w:tmpl w:val="6298FB2A"/>
    <w:lvl w:ilvl="0" w:tplc="0756CF62">
      <w:start w:val="1"/>
      <w:numFmt w:val="decimal"/>
      <w:lvlText w:val="%1."/>
      <w:lvlJc w:val="left"/>
      <w:pPr>
        <w:ind w:left="1080" w:hanging="360"/>
      </w:pPr>
      <w:rPr>
        <w:rFonts w:hint="default"/>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A3743C"/>
    <w:multiLevelType w:val="hybridMultilevel"/>
    <w:tmpl w:val="EA009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2813779">
    <w:abstractNumId w:val="8"/>
  </w:num>
  <w:num w:numId="2" w16cid:durableId="20517033">
    <w:abstractNumId w:val="0"/>
  </w:num>
  <w:num w:numId="3" w16cid:durableId="32967890">
    <w:abstractNumId w:val="9"/>
  </w:num>
  <w:num w:numId="4" w16cid:durableId="1140457732">
    <w:abstractNumId w:val="2"/>
  </w:num>
  <w:num w:numId="5" w16cid:durableId="1621376359">
    <w:abstractNumId w:val="10"/>
  </w:num>
  <w:num w:numId="6" w16cid:durableId="978002310">
    <w:abstractNumId w:val="5"/>
  </w:num>
  <w:num w:numId="7" w16cid:durableId="312367713">
    <w:abstractNumId w:val="4"/>
  </w:num>
  <w:num w:numId="8" w16cid:durableId="794951749">
    <w:abstractNumId w:val="1"/>
  </w:num>
  <w:num w:numId="9" w16cid:durableId="1443038553">
    <w:abstractNumId w:val="3"/>
  </w:num>
  <w:num w:numId="10" w16cid:durableId="1192307312">
    <w:abstractNumId w:val="7"/>
  </w:num>
  <w:num w:numId="11" w16cid:durableId="3132208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37"/>
    <w:rsid w:val="00001705"/>
    <w:rsid w:val="000044B5"/>
    <w:rsid w:val="000051E2"/>
    <w:rsid w:val="00010533"/>
    <w:rsid w:val="00011143"/>
    <w:rsid w:val="000200F1"/>
    <w:rsid w:val="00020A80"/>
    <w:rsid w:val="00021B02"/>
    <w:rsid w:val="0002255D"/>
    <w:rsid w:val="00022902"/>
    <w:rsid w:val="00022D31"/>
    <w:rsid w:val="00031A3B"/>
    <w:rsid w:val="00033BF0"/>
    <w:rsid w:val="0004017B"/>
    <w:rsid w:val="00040A71"/>
    <w:rsid w:val="0004153F"/>
    <w:rsid w:val="000418E1"/>
    <w:rsid w:val="000440C3"/>
    <w:rsid w:val="00044DAE"/>
    <w:rsid w:val="000457D4"/>
    <w:rsid w:val="000459F7"/>
    <w:rsid w:val="00045B3B"/>
    <w:rsid w:val="00047039"/>
    <w:rsid w:val="000471B6"/>
    <w:rsid w:val="00051861"/>
    <w:rsid w:val="0005299D"/>
    <w:rsid w:val="0005745B"/>
    <w:rsid w:val="000574CE"/>
    <w:rsid w:val="00057D41"/>
    <w:rsid w:val="00061527"/>
    <w:rsid w:val="00063DF6"/>
    <w:rsid w:val="00064815"/>
    <w:rsid w:val="00067234"/>
    <w:rsid w:val="000676C7"/>
    <w:rsid w:val="0007026A"/>
    <w:rsid w:val="0007080D"/>
    <w:rsid w:val="00071EED"/>
    <w:rsid w:val="00072BA3"/>
    <w:rsid w:val="00075E2D"/>
    <w:rsid w:val="00080921"/>
    <w:rsid w:val="00083336"/>
    <w:rsid w:val="00087E82"/>
    <w:rsid w:val="00090A2B"/>
    <w:rsid w:val="00091364"/>
    <w:rsid w:val="0009271B"/>
    <w:rsid w:val="00093182"/>
    <w:rsid w:val="000934FA"/>
    <w:rsid w:val="000959D8"/>
    <w:rsid w:val="00097024"/>
    <w:rsid w:val="0009705E"/>
    <w:rsid w:val="000A41DA"/>
    <w:rsid w:val="000A4CF3"/>
    <w:rsid w:val="000A7887"/>
    <w:rsid w:val="000B07A8"/>
    <w:rsid w:val="000B0EB6"/>
    <w:rsid w:val="000B10A3"/>
    <w:rsid w:val="000B1F22"/>
    <w:rsid w:val="000B3FFB"/>
    <w:rsid w:val="000B59DF"/>
    <w:rsid w:val="000B6523"/>
    <w:rsid w:val="000B6F9B"/>
    <w:rsid w:val="000B71D5"/>
    <w:rsid w:val="000B7AC3"/>
    <w:rsid w:val="000C0F78"/>
    <w:rsid w:val="000C14F4"/>
    <w:rsid w:val="000C3F78"/>
    <w:rsid w:val="000C4715"/>
    <w:rsid w:val="000C64C4"/>
    <w:rsid w:val="000D2E82"/>
    <w:rsid w:val="000D2EC0"/>
    <w:rsid w:val="000E1395"/>
    <w:rsid w:val="000E1E9C"/>
    <w:rsid w:val="000E4821"/>
    <w:rsid w:val="000E620E"/>
    <w:rsid w:val="000E6813"/>
    <w:rsid w:val="000F26A5"/>
    <w:rsid w:val="000F2764"/>
    <w:rsid w:val="000F5256"/>
    <w:rsid w:val="000F5443"/>
    <w:rsid w:val="000F6D1A"/>
    <w:rsid w:val="0010172B"/>
    <w:rsid w:val="00101F54"/>
    <w:rsid w:val="00103057"/>
    <w:rsid w:val="00104AAB"/>
    <w:rsid w:val="001057A0"/>
    <w:rsid w:val="001108AA"/>
    <w:rsid w:val="00112703"/>
    <w:rsid w:val="00114F38"/>
    <w:rsid w:val="00116BBB"/>
    <w:rsid w:val="00116FAC"/>
    <w:rsid w:val="001179D7"/>
    <w:rsid w:val="0012128C"/>
    <w:rsid w:val="0012365F"/>
    <w:rsid w:val="001237F9"/>
    <w:rsid w:val="00124F55"/>
    <w:rsid w:val="00133033"/>
    <w:rsid w:val="001361F0"/>
    <w:rsid w:val="00137DE8"/>
    <w:rsid w:val="0014321D"/>
    <w:rsid w:val="00144932"/>
    <w:rsid w:val="001460DF"/>
    <w:rsid w:val="00146C93"/>
    <w:rsid w:val="001478DE"/>
    <w:rsid w:val="0015134D"/>
    <w:rsid w:val="0015444B"/>
    <w:rsid w:val="00156808"/>
    <w:rsid w:val="00160F6E"/>
    <w:rsid w:val="00166464"/>
    <w:rsid w:val="0017146F"/>
    <w:rsid w:val="00173FB7"/>
    <w:rsid w:val="00176C1E"/>
    <w:rsid w:val="00176EC5"/>
    <w:rsid w:val="00180B2C"/>
    <w:rsid w:val="00181414"/>
    <w:rsid w:val="00181B46"/>
    <w:rsid w:val="001840A7"/>
    <w:rsid w:val="00184B96"/>
    <w:rsid w:val="00186686"/>
    <w:rsid w:val="00186AEE"/>
    <w:rsid w:val="001923C6"/>
    <w:rsid w:val="001926B7"/>
    <w:rsid w:val="001A1217"/>
    <w:rsid w:val="001A5D01"/>
    <w:rsid w:val="001B29AF"/>
    <w:rsid w:val="001B2F0A"/>
    <w:rsid w:val="001B685D"/>
    <w:rsid w:val="001C04A3"/>
    <w:rsid w:val="001C0C92"/>
    <w:rsid w:val="001C147B"/>
    <w:rsid w:val="001C17A3"/>
    <w:rsid w:val="001C2928"/>
    <w:rsid w:val="001C44EC"/>
    <w:rsid w:val="001D2132"/>
    <w:rsid w:val="001D2EAB"/>
    <w:rsid w:val="001D5065"/>
    <w:rsid w:val="001D5619"/>
    <w:rsid w:val="001D652B"/>
    <w:rsid w:val="001E0B3B"/>
    <w:rsid w:val="001E0DA8"/>
    <w:rsid w:val="001E4527"/>
    <w:rsid w:val="001E58FF"/>
    <w:rsid w:val="001F1AAE"/>
    <w:rsid w:val="001F2AF7"/>
    <w:rsid w:val="001F42D4"/>
    <w:rsid w:val="001F50C3"/>
    <w:rsid w:val="001F540C"/>
    <w:rsid w:val="00200B8C"/>
    <w:rsid w:val="00201A7A"/>
    <w:rsid w:val="002020AB"/>
    <w:rsid w:val="00203184"/>
    <w:rsid w:val="00204602"/>
    <w:rsid w:val="002047B1"/>
    <w:rsid w:val="0020481B"/>
    <w:rsid w:val="00211B06"/>
    <w:rsid w:val="00212447"/>
    <w:rsid w:val="002133E9"/>
    <w:rsid w:val="00213D74"/>
    <w:rsid w:val="0022169E"/>
    <w:rsid w:val="00222553"/>
    <w:rsid w:val="00223D2E"/>
    <w:rsid w:val="00226F8F"/>
    <w:rsid w:val="00227CDD"/>
    <w:rsid w:val="00231898"/>
    <w:rsid w:val="002324FA"/>
    <w:rsid w:val="00233268"/>
    <w:rsid w:val="00234EF2"/>
    <w:rsid w:val="00236C71"/>
    <w:rsid w:val="00240532"/>
    <w:rsid w:val="002408C1"/>
    <w:rsid w:val="00241039"/>
    <w:rsid w:val="00241F4B"/>
    <w:rsid w:val="002447AA"/>
    <w:rsid w:val="002479ED"/>
    <w:rsid w:val="00250E48"/>
    <w:rsid w:val="00251B45"/>
    <w:rsid w:val="00255BD7"/>
    <w:rsid w:val="0025634C"/>
    <w:rsid w:val="00262C4C"/>
    <w:rsid w:val="0026708D"/>
    <w:rsid w:val="0026719C"/>
    <w:rsid w:val="00275B2D"/>
    <w:rsid w:val="00275CF3"/>
    <w:rsid w:val="0027781A"/>
    <w:rsid w:val="0028352C"/>
    <w:rsid w:val="002836FF"/>
    <w:rsid w:val="002840B5"/>
    <w:rsid w:val="00286178"/>
    <w:rsid w:val="0028644C"/>
    <w:rsid w:val="002909F3"/>
    <w:rsid w:val="002910DB"/>
    <w:rsid w:val="00293072"/>
    <w:rsid w:val="00293FF8"/>
    <w:rsid w:val="00294C14"/>
    <w:rsid w:val="002A2115"/>
    <w:rsid w:val="002A26E3"/>
    <w:rsid w:val="002A351A"/>
    <w:rsid w:val="002A42DE"/>
    <w:rsid w:val="002A5429"/>
    <w:rsid w:val="002B2410"/>
    <w:rsid w:val="002B28DA"/>
    <w:rsid w:val="002B30D4"/>
    <w:rsid w:val="002B41DB"/>
    <w:rsid w:val="002B42B3"/>
    <w:rsid w:val="002B4755"/>
    <w:rsid w:val="002B4D7D"/>
    <w:rsid w:val="002B50E4"/>
    <w:rsid w:val="002B5376"/>
    <w:rsid w:val="002B62BA"/>
    <w:rsid w:val="002B76DE"/>
    <w:rsid w:val="002B7CFC"/>
    <w:rsid w:val="002C0682"/>
    <w:rsid w:val="002C0D2D"/>
    <w:rsid w:val="002C186B"/>
    <w:rsid w:val="002C2FAE"/>
    <w:rsid w:val="002C3A36"/>
    <w:rsid w:val="002C3B07"/>
    <w:rsid w:val="002D5C73"/>
    <w:rsid w:val="002E1F5D"/>
    <w:rsid w:val="002E49DC"/>
    <w:rsid w:val="002F206F"/>
    <w:rsid w:val="002F77A0"/>
    <w:rsid w:val="002F7DCF"/>
    <w:rsid w:val="003033EC"/>
    <w:rsid w:val="00303765"/>
    <w:rsid w:val="00303C31"/>
    <w:rsid w:val="003042F9"/>
    <w:rsid w:val="00305503"/>
    <w:rsid w:val="00305D71"/>
    <w:rsid w:val="0030755E"/>
    <w:rsid w:val="0030787F"/>
    <w:rsid w:val="00307BBB"/>
    <w:rsid w:val="003107F6"/>
    <w:rsid w:val="00311958"/>
    <w:rsid w:val="00313815"/>
    <w:rsid w:val="00313882"/>
    <w:rsid w:val="00314B36"/>
    <w:rsid w:val="00315787"/>
    <w:rsid w:val="00317957"/>
    <w:rsid w:val="00320675"/>
    <w:rsid w:val="00322479"/>
    <w:rsid w:val="00324CE0"/>
    <w:rsid w:val="0032651A"/>
    <w:rsid w:val="003275CD"/>
    <w:rsid w:val="00327CAB"/>
    <w:rsid w:val="00331985"/>
    <w:rsid w:val="0033235B"/>
    <w:rsid w:val="0033356B"/>
    <w:rsid w:val="003345C4"/>
    <w:rsid w:val="003358C9"/>
    <w:rsid w:val="00346EF9"/>
    <w:rsid w:val="003479FF"/>
    <w:rsid w:val="00347CEF"/>
    <w:rsid w:val="0035049B"/>
    <w:rsid w:val="0035323D"/>
    <w:rsid w:val="003547F5"/>
    <w:rsid w:val="00361164"/>
    <w:rsid w:val="003626D6"/>
    <w:rsid w:val="003632F2"/>
    <w:rsid w:val="00364AAF"/>
    <w:rsid w:val="0036507B"/>
    <w:rsid w:val="00366D83"/>
    <w:rsid w:val="003703B4"/>
    <w:rsid w:val="003705AE"/>
    <w:rsid w:val="00371D3D"/>
    <w:rsid w:val="003721DA"/>
    <w:rsid w:val="00372BAD"/>
    <w:rsid w:val="003748E0"/>
    <w:rsid w:val="00377491"/>
    <w:rsid w:val="00384921"/>
    <w:rsid w:val="003853A1"/>
    <w:rsid w:val="00385CF6"/>
    <w:rsid w:val="00385EAC"/>
    <w:rsid w:val="003863C6"/>
    <w:rsid w:val="00387548"/>
    <w:rsid w:val="00395D36"/>
    <w:rsid w:val="00395F86"/>
    <w:rsid w:val="003960FB"/>
    <w:rsid w:val="00397A96"/>
    <w:rsid w:val="003A43BD"/>
    <w:rsid w:val="003A4D4D"/>
    <w:rsid w:val="003A6278"/>
    <w:rsid w:val="003A6EDF"/>
    <w:rsid w:val="003A721B"/>
    <w:rsid w:val="003B0F97"/>
    <w:rsid w:val="003B2E88"/>
    <w:rsid w:val="003B2EE4"/>
    <w:rsid w:val="003B2F86"/>
    <w:rsid w:val="003B395B"/>
    <w:rsid w:val="003B4896"/>
    <w:rsid w:val="003B4FDB"/>
    <w:rsid w:val="003B5BD5"/>
    <w:rsid w:val="003B5FD9"/>
    <w:rsid w:val="003B6ACD"/>
    <w:rsid w:val="003C1DE8"/>
    <w:rsid w:val="003C3548"/>
    <w:rsid w:val="003C6704"/>
    <w:rsid w:val="003C69DF"/>
    <w:rsid w:val="003D1EAC"/>
    <w:rsid w:val="003D1F50"/>
    <w:rsid w:val="003D2554"/>
    <w:rsid w:val="003D2B8B"/>
    <w:rsid w:val="003D3AD9"/>
    <w:rsid w:val="003D3DFF"/>
    <w:rsid w:val="003E05DB"/>
    <w:rsid w:val="003E1CFE"/>
    <w:rsid w:val="003E5CA1"/>
    <w:rsid w:val="003E621E"/>
    <w:rsid w:val="003F02F6"/>
    <w:rsid w:val="003F08C8"/>
    <w:rsid w:val="003F18D1"/>
    <w:rsid w:val="003F2BE1"/>
    <w:rsid w:val="00400BAA"/>
    <w:rsid w:val="00403E19"/>
    <w:rsid w:val="004069E0"/>
    <w:rsid w:val="00407A6B"/>
    <w:rsid w:val="00411B37"/>
    <w:rsid w:val="0041315C"/>
    <w:rsid w:val="004179C2"/>
    <w:rsid w:val="00422E83"/>
    <w:rsid w:val="004230F0"/>
    <w:rsid w:val="00423130"/>
    <w:rsid w:val="004232E0"/>
    <w:rsid w:val="00423EA0"/>
    <w:rsid w:val="00426370"/>
    <w:rsid w:val="00427386"/>
    <w:rsid w:val="00430E92"/>
    <w:rsid w:val="004313FE"/>
    <w:rsid w:val="004315ED"/>
    <w:rsid w:val="0043409E"/>
    <w:rsid w:val="00436328"/>
    <w:rsid w:val="00437639"/>
    <w:rsid w:val="00441147"/>
    <w:rsid w:val="00441887"/>
    <w:rsid w:val="00441D14"/>
    <w:rsid w:val="004501D4"/>
    <w:rsid w:val="004506C7"/>
    <w:rsid w:val="00451EF8"/>
    <w:rsid w:val="00455CEF"/>
    <w:rsid w:val="00463CD1"/>
    <w:rsid w:val="00464253"/>
    <w:rsid w:val="00464D0C"/>
    <w:rsid w:val="00465F64"/>
    <w:rsid w:val="00467085"/>
    <w:rsid w:val="004710BD"/>
    <w:rsid w:val="00472E54"/>
    <w:rsid w:val="00476260"/>
    <w:rsid w:val="00477420"/>
    <w:rsid w:val="00480640"/>
    <w:rsid w:val="00481DE6"/>
    <w:rsid w:val="004822EB"/>
    <w:rsid w:val="0048411A"/>
    <w:rsid w:val="00484294"/>
    <w:rsid w:val="00485AFA"/>
    <w:rsid w:val="00485CFE"/>
    <w:rsid w:val="00487E02"/>
    <w:rsid w:val="004905E3"/>
    <w:rsid w:val="004949F0"/>
    <w:rsid w:val="004955AF"/>
    <w:rsid w:val="00495E7C"/>
    <w:rsid w:val="004973AD"/>
    <w:rsid w:val="004A0F75"/>
    <w:rsid w:val="004A15D0"/>
    <w:rsid w:val="004A2161"/>
    <w:rsid w:val="004A4817"/>
    <w:rsid w:val="004A630A"/>
    <w:rsid w:val="004A7E02"/>
    <w:rsid w:val="004B3F58"/>
    <w:rsid w:val="004B4F3B"/>
    <w:rsid w:val="004B5218"/>
    <w:rsid w:val="004B5378"/>
    <w:rsid w:val="004B661F"/>
    <w:rsid w:val="004C1066"/>
    <w:rsid w:val="004C1C27"/>
    <w:rsid w:val="004C6212"/>
    <w:rsid w:val="004C72BF"/>
    <w:rsid w:val="004C7BB5"/>
    <w:rsid w:val="004D19B0"/>
    <w:rsid w:val="004D3F3B"/>
    <w:rsid w:val="004D410E"/>
    <w:rsid w:val="004D677F"/>
    <w:rsid w:val="004D75DB"/>
    <w:rsid w:val="004D762F"/>
    <w:rsid w:val="004E2C74"/>
    <w:rsid w:val="004E49AB"/>
    <w:rsid w:val="004E4D18"/>
    <w:rsid w:val="004E5E0A"/>
    <w:rsid w:val="004E6B47"/>
    <w:rsid w:val="004F2B97"/>
    <w:rsid w:val="004F5FFB"/>
    <w:rsid w:val="004F64FE"/>
    <w:rsid w:val="004F72AC"/>
    <w:rsid w:val="00502584"/>
    <w:rsid w:val="005026C7"/>
    <w:rsid w:val="00506084"/>
    <w:rsid w:val="005105F1"/>
    <w:rsid w:val="00512647"/>
    <w:rsid w:val="00512D6C"/>
    <w:rsid w:val="005138CC"/>
    <w:rsid w:val="00514994"/>
    <w:rsid w:val="005149ED"/>
    <w:rsid w:val="00516B24"/>
    <w:rsid w:val="00517F92"/>
    <w:rsid w:val="00523E82"/>
    <w:rsid w:val="00525CE3"/>
    <w:rsid w:val="00525FB6"/>
    <w:rsid w:val="005267CE"/>
    <w:rsid w:val="0052688C"/>
    <w:rsid w:val="0052782A"/>
    <w:rsid w:val="00527F9E"/>
    <w:rsid w:val="00530697"/>
    <w:rsid w:val="005306A1"/>
    <w:rsid w:val="00530E9C"/>
    <w:rsid w:val="00530F4F"/>
    <w:rsid w:val="00533ACB"/>
    <w:rsid w:val="0053449B"/>
    <w:rsid w:val="0053510F"/>
    <w:rsid w:val="00536A63"/>
    <w:rsid w:val="00541171"/>
    <w:rsid w:val="00544CA3"/>
    <w:rsid w:val="005479C5"/>
    <w:rsid w:val="005510CA"/>
    <w:rsid w:val="00553170"/>
    <w:rsid w:val="00560146"/>
    <w:rsid w:val="00560657"/>
    <w:rsid w:val="00560842"/>
    <w:rsid w:val="00561630"/>
    <w:rsid w:val="005619F4"/>
    <w:rsid w:val="00563A11"/>
    <w:rsid w:val="005641ED"/>
    <w:rsid w:val="005657C1"/>
    <w:rsid w:val="00566E2C"/>
    <w:rsid w:val="00566E31"/>
    <w:rsid w:val="00567565"/>
    <w:rsid w:val="005701F7"/>
    <w:rsid w:val="00573190"/>
    <w:rsid w:val="0057458A"/>
    <w:rsid w:val="005745DF"/>
    <w:rsid w:val="00576481"/>
    <w:rsid w:val="00577948"/>
    <w:rsid w:val="0059440A"/>
    <w:rsid w:val="005A1371"/>
    <w:rsid w:val="005A22FE"/>
    <w:rsid w:val="005A26D1"/>
    <w:rsid w:val="005A332E"/>
    <w:rsid w:val="005A3B17"/>
    <w:rsid w:val="005A70ED"/>
    <w:rsid w:val="005B2D5B"/>
    <w:rsid w:val="005B5EA5"/>
    <w:rsid w:val="005B67A1"/>
    <w:rsid w:val="005B70CF"/>
    <w:rsid w:val="005C1144"/>
    <w:rsid w:val="005C1A0A"/>
    <w:rsid w:val="005C1ECE"/>
    <w:rsid w:val="005C3DC6"/>
    <w:rsid w:val="005C47CA"/>
    <w:rsid w:val="005D0C91"/>
    <w:rsid w:val="005D256B"/>
    <w:rsid w:val="005D25AD"/>
    <w:rsid w:val="005D4593"/>
    <w:rsid w:val="005D53C4"/>
    <w:rsid w:val="005D558B"/>
    <w:rsid w:val="005D6270"/>
    <w:rsid w:val="005D6D90"/>
    <w:rsid w:val="005D6EFD"/>
    <w:rsid w:val="005D794F"/>
    <w:rsid w:val="005E14A7"/>
    <w:rsid w:val="005E18BF"/>
    <w:rsid w:val="005E2ACE"/>
    <w:rsid w:val="005E3B3F"/>
    <w:rsid w:val="005F0BD6"/>
    <w:rsid w:val="005F22DF"/>
    <w:rsid w:val="005F38BE"/>
    <w:rsid w:val="005F6C70"/>
    <w:rsid w:val="00601059"/>
    <w:rsid w:val="006012F7"/>
    <w:rsid w:val="00601A08"/>
    <w:rsid w:val="0060371B"/>
    <w:rsid w:val="006037BC"/>
    <w:rsid w:val="00603B0B"/>
    <w:rsid w:val="006079F1"/>
    <w:rsid w:val="006132D9"/>
    <w:rsid w:val="00614F00"/>
    <w:rsid w:val="006176E2"/>
    <w:rsid w:val="00621F11"/>
    <w:rsid w:val="00622D2A"/>
    <w:rsid w:val="00625958"/>
    <w:rsid w:val="006260C4"/>
    <w:rsid w:val="00626129"/>
    <w:rsid w:val="0062667E"/>
    <w:rsid w:val="006276CA"/>
    <w:rsid w:val="00631213"/>
    <w:rsid w:val="00633F60"/>
    <w:rsid w:val="00636336"/>
    <w:rsid w:val="006372C0"/>
    <w:rsid w:val="00637836"/>
    <w:rsid w:val="00641195"/>
    <w:rsid w:val="00641DBB"/>
    <w:rsid w:val="00641F05"/>
    <w:rsid w:val="00642257"/>
    <w:rsid w:val="00644657"/>
    <w:rsid w:val="006451C6"/>
    <w:rsid w:val="0065102B"/>
    <w:rsid w:val="00651D6F"/>
    <w:rsid w:val="00662212"/>
    <w:rsid w:val="006622B8"/>
    <w:rsid w:val="0066380C"/>
    <w:rsid w:val="006660B0"/>
    <w:rsid w:val="00670059"/>
    <w:rsid w:val="00670830"/>
    <w:rsid w:val="00670947"/>
    <w:rsid w:val="00670BF1"/>
    <w:rsid w:val="0067243A"/>
    <w:rsid w:val="006738E5"/>
    <w:rsid w:val="00674487"/>
    <w:rsid w:val="00675529"/>
    <w:rsid w:val="00675B51"/>
    <w:rsid w:val="00675B89"/>
    <w:rsid w:val="00675E59"/>
    <w:rsid w:val="0068016D"/>
    <w:rsid w:val="00684F6E"/>
    <w:rsid w:val="006853BC"/>
    <w:rsid w:val="00686233"/>
    <w:rsid w:val="00690F93"/>
    <w:rsid w:val="00695387"/>
    <w:rsid w:val="0069578E"/>
    <w:rsid w:val="006A07EF"/>
    <w:rsid w:val="006A4126"/>
    <w:rsid w:val="006A42CA"/>
    <w:rsid w:val="006A4AD6"/>
    <w:rsid w:val="006A50EC"/>
    <w:rsid w:val="006A5C52"/>
    <w:rsid w:val="006A6253"/>
    <w:rsid w:val="006B0C6A"/>
    <w:rsid w:val="006B0F10"/>
    <w:rsid w:val="006B0FDC"/>
    <w:rsid w:val="006B1328"/>
    <w:rsid w:val="006B319C"/>
    <w:rsid w:val="006B3656"/>
    <w:rsid w:val="006B67C6"/>
    <w:rsid w:val="006C3DEE"/>
    <w:rsid w:val="006C7B53"/>
    <w:rsid w:val="006D7078"/>
    <w:rsid w:val="006E1E8A"/>
    <w:rsid w:val="006E326D"/>
    <w:rsid w:val="006E479C"/>
    <w:rsid w:val="006E53B7"/>
    <w:rsid w:val="006E653E"/>
    <w:rsid w:val="006F1882"/>
    <w:rsid w:val="006F2FD4"/>
    <w:rsid w:val="006F374E"/>
    <w:rsid w:val="006F599B"/>
    <w:rsid w:val="006F67C9"/>
    <w:rsid w:val="006F6A02"/>
    <w:rsid w:val="007001C2"/>
    <w:rsid w:val="00700808"/>
    <w:rsid w:val="00701326"/>
    <w:rsid w:val="007059E7"/>
    <w:rsid w:val="0070608C"/>
    <w:rsid w:val="0070646C"/>
    <w:rsid w:val="00710CD3"/>
    <w:rsid w:val="00711036"/>
    <w:rsid w:val="0071409E"/>
    <w:rsid w:val="007144AD"/>
    <w:rsid w:val="007167E9"/>
    <w:rsid w:val="0072168F"/>
    <w:rsid w:val="00726C7A"/>
    <w:rsid w:val="007307AE"/>
    <w:rsid w:val="0073284B"/>
    <w:rsid w:val="00733259"/>
    <w:rsid w:val="00735E90"/>
    <w:rsid w:val="007432B2"/>
    <w:rsid w:val="00744E79"/>
    <w:rsid w:val="00745151"/>
    <w:rsid w:val="00745D5E"/>
    <w:rsid w:val="00753374"/>
    <w:rsid w:val="00754ACC"/>
    <w:rsid w:val="00754E6A"/>
    <w:rsid w:val="0075537E"/>
    <w:rsid w:val="00755BE8"/>
    <w:rsid w:val="00760472"/>
    <w:rsid w:val="00760884"/>
    <w:rsid w:val="00764151"/>
    <w:rsid w:val="0076678C"/>
    <w:rsid w:val="0076717D"/>
    <w:rsid w:val="0077189C"/>
    <w:rsid w:val="00772B74"/>
    <w:rsid w:val="00772D65"/>
    <w:rsid w:val="007745FE"/>
    <w:rsid w:val="00775A25"/>
    <w:rsid w:val="007761C6"/>
    <w:rsid w:val="00785E5D"/>
    <w:rsid w:val="00786A00"/>
    <w:rsid w:val="0078706B"/>
    <w:rsid w:val="0078737D"/>
    <w:rsid w:val="00795343"/>
    <w:rsid w:val="007A0992"/>
    <w:rsid w:val="007A1B63"/>
    <w:rsid w:val="007A232E"/>
    <w:rsid w:val="007A30EC"/>
    <w:rsid w:val="007A76CA"/>
    <w:rsid w:val="007B0FFA"/>
    <w:rsid w:val="007B33CE"/>
    <w:rsid w:val="007B7822"/>
    <w:rsid w:val="007C1227"/>
    <w:rsid w:val="007C138E"/>
    <w:rsid w:val="007C38BC"/>
    <w:rsid w:val="007C425C"/>
    <w:rsid w:val="007C4F92"/>
    <w:rsid w:val="007C50EA"/>
    <w:rsid w:val="007C6619"/>
    <w:rsid w:val="007D2663"/>
    <w:rsid w:val="007D4062"/>
    <w:rsid w:val="007D4C4A"/>
    <w:rsid w:val="007D5AB2"/>
    <w:rsid w:val="007D6316"/>
    <w:rsid w:val="007D7DDA"/>
    <w:rsid w:val="007E0426"/>
    <w:rsid w:val="007E0BBE"/>
    <w:rsid w:val="007E0D79"/>
    <w:rsid w:val="007E286F"/>
    <w:rsid w:val="007E2BA1"/>
    <w:rsid w:val="007F14C7"/>
    <w:rsid w:val="007F19BF"/>
    <w:rsid w:val="007F4848"/>
    <w:rsid w:val="007F4B68"/>
    <w:rsid w:val="007F5C75"/>
    <w:rsid w:val="00800B0A"/>
    <w:rsid w:val="00803CED"/>
    <w:rsid w:val="008040DC"/>
    <w:rsid w:val="00804D6E"/>
    <w:rsid w:val="00806A95"/>
    <w:rsid w:val="00810AEA"/>
    <w:rsid w:val="00811629"/>
    <w:rsid w:val="008216C9"/>
    <w:rsid w:val="00822056"/>
    <w:rsid w:val="00825F74"/>
    <w:rsid w:val="00826024"/>
    <w:rsid w:val="00826A42"/>
    <w:rsid w:val="00827E20"/>
    <w:rsid w:val="00831E4F"/>
    <w:rsid w:val="008332EA"/>
    <w:rsid w:val="00833613"/>
    <w:rsid w:val="00834DAC"/>
    <w:rsid w:val="00834EF6"/>
    <w:rsid w:val="0083606A"/>
    <w:rsid w:val="008375D3"/>
    <w:rsid w:val="00843158"/>
    <w:rsid w:val="00843E2A"/>
    <w:rsid w:val="008457B2"/>
    <w:rsid w:val="00846DCA"/>
    <w:rsid w:val="00851665"/>
    <w:rsid w:val="008520CC"/>
    <w:rsid w:val="00853023"/>
    <w:rsid w:val="00853371"/>
    <w:rsid w:val="008609FB"/>
    <w:rsid w:val="00861A17"/>
    <w:rsid w:val="00863466"/>
    <w:rsid w:val="0086626B"/>
    <w:rsid w:val="00867004"/>
    <w:rsid w:val="00867D3A"/>
    <w:rsid w:val="008717E1"/>
    <w:rsid w:val="00873AE9"/>
    <w:rsid w:val="00874571"/>
    <w:rsid w:val="008748BF"/>
    <w:rsid w:val="00874A57"/>
    <w:rsid w:val="00876579"/>
    <w:rsid w:val="00876727"/>
    <w:rsid w:val="0088404F"/>
    <w:rsid w:val="008875A0"/>
    <w:rsid w:val="00891BB9"/>
    <w:rsid w:val="008924D8"/>
    <w:rsid w:val="008A22B9"/>
    <w:rsid w:val="008A40C7"/>
    <w:rsid w:val="008B2602"/>
    <w:rsid w:val="008B35D9"/>
    <w:rsid w:val="008B63A5"/>
    <w:rsid w:val="008C0C1A"/>
    <w:rsid w:val="008C2B9D"/>
    <w:rsid w:val="008C3FEA"/>
    <w:rsid w:val="008C683C"/>
    <w:rsid w:val="008C7D1E"/>
    <w:rsid w:val="008D041F"/>
    <w:rsid w:val="008D354F"/>
    <w:rsid w:val="008D49AA"/>
    <w:rsid w:val="008D602B"/>
    <w:rsid w:val="008D6AB7"/>
    <w:rsid w:val="008D7145"/>
    <w:rsid w:val="008E18E6"/>
    <w:rsid w:val="008E639D"/>
    <w:rsid w:val="008E67B3"/>
    <w:rsid w:val="008F098F"/>
    <w:rsid w:val="008F0EA8"/>
    <w:rsid w:val="008F1738"/>
    <w:rsid w:val="008F1BFB"/>
    <w:rsid w:val="008F1CBC"/>
    <w:rsid w:val="008F4037"/>
    <w:rsid w:val="008F528B"/>
    <w:rsid w:val="008F6FCF"/>
    <w:rsid w:val="00903021"/>
    <w:rsid w:val="00904615"/>
    <w:rsid w:val="0090764B"/>
    <w:rsid w:val="00912B08"/>
    <w:rsid w:val="00914044"/>
    <w:rsid w:val="00914196"/>
    <w:rsid w:val="00916CFA"/>
    <w:rsid w:val="00916FC6"/>
    <w:rsid w:val="00917989"/>
    <w:rsid w:val="009210F2"/>
    <w:rsid w:val="00921F8E"/>
    <w:rsid w:val="0092495B"/>
    <w:rsid w:val="00927844"/>
    <w:rsid w:val="009279FB"/>
    <w:rsid w:val="0093410C"/>
    <w:rsid w:val="0093440A"/>
    <w:rsid w:val="00934515"/>
    <w:rsid w:val="009352ED"/>
    <w:rsid w:val="00935E44"/>
    <w:rsid w:val="009363F0"/>
    <w:rsid w:val="00940C29"/>
    <w:rsid w:val="009420E5"/>
    <w:rsid w:val="009439F6"/>
    <w:rsid w:val="0094717E"/>
    <w:rsid w:val="009471A5"/>
    <w:rsid w:val="00947423"/>
    <w:rsid w:val="0094749B"/>
    <w:rsid w:val="009514AA"/>
    <w:rsid w:val="00951E78"/>
    <w:rsid w:val="00957096"/>
    <w:rsid w:val="00963922"/>
    <w:rsid w:val="009644DB"/>
    <w:rsid w:val="00964711"/>
    <w:rsid w:val="0096663F"/>
    <w:rsid w:val="009701DC"/>
    <w:rsid w:val="0097418E"/>
    <w:rsid w:val="009778B7"/>
    <w:rsid w:val="009804ED"/>
    <w:rsid w:val="00982ABC"/>
    <w:rsid w:val="00982D00"/>
    <w:rsid w:val="00984D75"/>
    <w:rsid w:val="00990BC9"/>
    <w:rsid w:val="00992A48"/>
    <w:rsid w:val="00995DCB"/>
    <w:rsid w:val="009A17A6"/>
    <w:rsid w:val="009A1BBB"/>
    <w:rsid w:val="009A358C"/>
    <w:rsid w:val="009A3908"/>
    <w:rsid w:val="009A3F49"/>
    <w:rsid w:val="009A4814"/>
    <w:rsid w:val="009A7CE2"/>
    <w:rsid w:val="009B0072"/>
    <w:rsid w:val="009B079F"/>
    <w:rsid w:val="009B170C"/>
    <w:rsid w:val="009B1C5C"/>
    <w:rsid w:val="009B36FE"/>
    <w:rsid w:val="009B427D"/>
    <w:rsid w:val="009B6545"/>
    <w:rsid w:val="009C1714"/>
    <w:rsid w:val="009C1E81"/>
    <w:rsid w:val="009C3687"/>
    <w:rsid w:val="009C4F1E"/>
    <w:rsid w:val="009C5525"/>
    <w:rsid w:val="009C6604"/>
    <w:rsid w:val="009D03FF"/>
    <w:rsid w:val="009D0BFC"/>
    <w:rsid w:val="009D612C"/>
    <w:rsid w:val="009D644F"/>
    <w:rsid w:val="009E0B77"/>
    <w:rsid w:val="009E0D8D"/>
    <w:rsid w:val="009F2A57"/>
    <w:rsid w:val="009F4319"/>
    <w:rsid w:val="009F4629"/>
    <w:rsid w:val="009F5B95"/>
    <w:rsid w:val="009F6764"/>
    <w:rsid w:val="00A02C9D"/>
    <w:rsid w:val="00A0481B"/>
    <w:rsid w:val="00A1235F"/>
    <w:rsid w:val="00A14473"/>
    <w:rsid w:val="00A16369"/>
    <w:rsid w:val="00A2305B"/>
    <w:rsid w:val="00A25455"/>
    <w:rsid w:val="00A25B35"/>
    <w:rsid w:val="00A26528"/>
    <w:rsid w:val="00A31DF0"/>
    <w:rsid w:val="00A32237"/>
    <w:rsid w:val="00A32490"/>
    <w:rsid w:val="00A324D7"/>
    <w:rsid w:val="00A32C20"/>
    <w:rsid w:val="00A355CC"/>
    <w:rsid w:val="00A4132C"/>
    <w:rsid w:val="00A416F9"/>
    <w:rsid w:val="00A41998"/>
    <w:rsid w:val="00A43BAF"/>
    <w:rsid w:val="00A45A87"/>
    <w:rsid w:val="00A4633F"/>
    <w:rsid w:val="00A479A4"/>
    <w:rsid w:val="00A521D6"/>
    <w:rsid w:val="00A52FBE"/>
    <w:rsid w:val="00A5350C"/>
    <w:rsid w:val="00A54C8F"/>
    <w:rsid w:val="00A56CFB"/>
    <w:rsid w:val="00A56D8C"/>
    <w:rsid w:val="00A63B46"/>
    <w:rsid w:val="00A656B4"/>
    <w:rsid w:val="00A65C63"/>
    <w:rsid w:val="00A7020B"/>
    <w:rsid w:val="00A74161"/>
    <w:rsid w:val="00A74811"/>
    <w:rsid w:val="00A76029"/>
    <w:rsid w:val="00A80946"/>
    <w:rsid w:val="00A818D0"/>
    <w:rsid w:val="00A81E71"/>
    <w:rsid w:val="00A82385"/>
    <w:rsid w:val="00A83615"/>
    <w:rsid w:val="00A8376E"/>
    <w:rsid w:val="00A83EC1"/>
    <w:rsid w:val="00A84E28"/>
    <w:rsid w:val="00A94145"/>
    <w:rsid w:val="00A95AB2"/>
    <w:rsid w:val="00A9718E"/>
    <w:rsid w:val="00AA0C09"/>
    <w:rsid w:val="00AA5992"/>
    <w:rsid w:val="00AA5DDD"/>
    <w:rsid w:val="00AB044A"/>
    <w:rsid w:val="00AB197F"/>
    <w:rsid w:val="00AB3E92"/>
    <w:rsid w:val="00AB3FAD"/>
    <w:rsid w:val="00AB55B8"/>
    <w:rsid w:val="00AB7169"/>
    <w:rsid w:val="00AB7B3E"/>
    <w:rsid w:val="00AC0C29"/>
    <w:rsid w:val="00AC390C"/>
    <w:rsid w:val="00AC65E2"/>
    <w:rsid w:val="00AD0868"/>
    <w:rsid w:val="00AD20C9"/>
    <w:rsid w:val="00AD3C06"/>
    <w:rsid w:val="00AD42C7"/>
    <w:rsid w:val="00AD71B5"/>
    <w:rsid w:val="00AD78E2"/>
    <w:rsid w:val="00AE4B70"/>
    <w:rsid w:val="00AE4F1D"/>
    <w:rsid w:val="00AE72A5"/>
    <w:rsid w:val="00AF3032"/>
    <w:rsid w:val="00AF392F"/>
    <w:rsid w:val="00AF4A6A"/>
    <w:rsid w:val="00AF4D46"/>
    <w:rsid w:val="00AF70B4"/>
    <w:rsid w:val="00AF7B99"/>
    <w:rsid w:val="00B00A65"/>
    <w:rsid w:val="00B01C90"/>
    <w:rsid w:val="00B02603"/>
    <w:rsid w:val="00B04168"/>
    <w:rsid w:val="00B06798"/>
    <w:rsid w:val="00B06A2B"/>
    <w:rsid w:val="00B06DFD"/>
    <w:rsid w:val="00B070CF"/>
    <w:rsid w:val="00B115AC"/>
    <w:rsid w:val="00B1200A"/>
    <w:rsid w:val="00B13024"/>
    <w:rsid w:val="00B16542"/>
    <w:rsid w:val="00B16632"/>
    <w:rsid w:val="00B17E78"/>
    <w:rsid w:val="00B21E96"/>
    <w:rsid w:val="00B22682"/>
    <w:rsid w:val="00B2541F"/>
    <w:rsid w:val="00B34B53"/>
    <w:rsid w:val="00B357D9"/>
    <w:rsid w:val="00B36027"/>
    <w:rsid w:val="00B37615"/>
    <w:rsid w:val="00B412C0"/>
    <w:rsid w:val="00B41E83"/>
    <w:rsid w:val="00B439F1"/>
    <w:rsid w:val="00B44011"/>
    <w:rsid w:val="00B455AB"/>
    <w:rsid w:val="00B5051B"/>
    <w:rsid w:val="00B50F06"/>
    <w:rsid w:val="00B5152F"/>
    <w:rsid w:val="00B51F02"/>
    <w:rsid w:val="00B55B11"/>
    <w:rsid w:val="00B572D4"/>
    <w:rsid w:val="00B6274D"/>
    <w:rsid w:val="00B65527"/>
    <w:rsid w:val="00B707D5"/>
    <w:rsid w:val="00B7254E"/>
    <w:rsid w:val="00B736C1"/>
    <w:rsid w:val="00B7562C"/>
    <w:rsid w:val="00B80545"/>
    <w:rsid w:val="00B82036"/>
    <w:rsid w:val="00B83DDA"/>
    <w:rsid w:val="00B8447F"/>
    <w:rsid w:val="00B845D1"/>
    <w:rsid w:val="00B84708"/>
    <w:rsid w:val="00B84F12"/>
    <w:rsid w:val="00B92625"/>
    <w:rsid w:val="00B9317E"/>
    <w:rsid w:val="00BA0512"/>
    <w:rsid w:val="00BA3474"/>
    <w:rsid w:val="00BA3688"/>
    <w:rsid w:val="00BA50F3"/>
    <w:rsid w:val="00BB2B3E"/>
    <w:rsid w:val="00BB3C89"/>
    <w:rsid w:val="00BB4D0C"/>
    <w:rsid w:val="00BB5190"/>
    <w:rsid w:val="00BB7E20"/>
    <w:rsid w:val="00BC3964"/>
    <w:rsid w:val="00BC614F"/>
    <w:rsid w:val="00BC7302"/>
    <w:rsid w:val="00BD0330"/>
    <w:rsid w:val="00BD173F"/>
    <w:rsid w:val="00BD1A3D"/>
    <w:rsid w:val="00BD4DD5"/>
    <w:rsid w:val="00BD511A"/>
    <w:rsid w:val="00BD53DE"/>
    <w:rsid w:val="00BE04DC"/>
    <w:rsid w:val="00BE198C"/>
    <w:rsid w:val="00BE493F"/>
    <w:rsid w:val="00BE54A1"/>
    <w:rsid w:val="00BF2CA9"/>
    <w:rsid w:val="00BF3A37"/>
    <w:rsid w:val="00BF3F24"/>
    <w:rsid w:val="00BF4D74"/>
    <w:rsid w:val="00BF5D75"/>
    <w:rsid w:val="00BF5F2D"/>
    <w:rsid w:val="00C10683"/>
    <w:rsid w:val="00C10FC9"/>
    <w:rsid w:val="00C11E6C"/>
    <w:rsid w:val="00C12A20"/>
    <w:rsid w:val="00C15551"/>
    <w:rsid w:val="00C158BD"/>
    <w:rsid w:val="00C17431"/>
    <w:rsid w:val="00C20D3B"/>
    <w:rsid w:val="00C22391"/>
    <w:rsid w:val="00C2431B"/>
    <w:rsid w:val="00C25B66"/>
    <w:rsid w:val="00C36567"/>
    <w:rsid w:val="00C36FE1"/>
    <w:rsid w:val="00C40263"/>
    <w:rsid w:val="00C41C8D"/>
    <w:rsid w:val="00C42890"/>
    <w:rsid w:val="00C4344A"/>
    <w:rsid w:val="00C44592"/>
    <w:rsid w:val="00C52D75"/>
    <w:rsid w:val="00C5486C"/>
    <w:rsid w:val="00C56F34"/>
    <w:rsid w:val="00C61AB7"/>
    <w:rsid w:val="00C61F96"/>
    <w:rsid w:val="00C62FFE"/>
    <w:rsid w:val="00C724DA"/>
    <w:rsid w:val="00C72A4F"/>
    <w:rsid w:val="00C75BB4"/>
    <w:rsid w:val="00C76635"/>
    <w:rsid w:val="00C76906"/>
    <w:rsid w:val="00C76E4C"/>
    <w:rsid w:val="00C8035C"/>
    <w:rsid w:val="00C86EA0"/>
    <w:rsid w:val="00C93C56"/>
    <w:rsid w:val="00C952CC"/>
    <w:rsid w:val="00C969C5"/>
    <w:rsid w:val="00C96FEF"/>
    <w:rsid w:val="00CA05B2"/>
    <w:rsid w:val="00CA18A8"/>
    <w:rsid w:val="00CA4831"/>
    <w:rsid w:val="00CA4D21"/>
    <w:rsid w:val="00CA5ADB"/>
    <w:rsid w:val="00CB1488"/>
    <w:rsid w:val="00CB267F"/>
    <w:rsid w:val="00CB35D8"/>
    <w:rsid w:val="00CB3B14"/>
    <w:rsid w:val="00CB5659"/>
    <w:rsid w:val="00CB7449"/>
    <w:rsid w:val="00CC0172"/>
    <w:rsid w:val="00CC2423"/>
    <w:rsid w:val="00CC4485"/>
    <w:rsid w:val="00CC64FD"/>
    <w:rsid w:val="00CC66EF"/>
    <w:rsid w:val="00CC6727"/>
    <w:rsid w:val="00CC673F"/>
    <w:rsid w:val="00CC7C58"/>
    <w:rsid w:val="00CD29A0"/>
    <w:rsid w:val="00CD3CDF"/>
    <w:rsid w:val="00CD5BB9"/>
    <w:rsid w:val="00CD5BD2"/>
    <w:rsid w:val="00CD6442"/>
    <w:rsid w:val="00CE034F"/>
    <w:rsid w:val="00CE4DCA"/>
    <w:rsid w:val="00CE52D4"/>
    <w:rsid w:val="00CF29A6"/>
    <w:rsid w:val="00CF349C"/>
    <w:rsid w:val="00CF35F3"/>
    <w:rsid w:val="00D010C6"/>
    <w:rsid w:val="00D04012"/>
    <w:rsid w:val="00D05FC2"/>
    <w:rsid w:val="00D07770"/>
    <w:rsid w:val="00D1093A"/>
    <w:rsid w:val="00D1337D"/>
    <w:rsid w:val="00D135B7"/>
    <w:rsid w:val="00D141A9"/>
    <w:rsid w:val="00D17CD9"/>
    <w:rsid w:val="00D2112E"/>
    <w:rsid w:val="00D22F85"/>
    <w:rsid w:val="00D23BDA"/>
    <w:rsid w:val="00D251A8"/>
    <w:rsid w:val="00D25294"/>
    <w:rsid w:val="00D314F5"/>
    <w:rsid w:val="00D31D64"/>
    <w:rsid w:val="00D320EA"/>
    <w:rsid w:val="00D322CF"/>
    <w:rsid w:val="00D32D8B"/>
    <w:rsid w:val="00D33FA7"/>
    <w:rsid w:val="00D3518D"/>
    <w:rsid w:val="00D35CEF"/>
    <w:rsid w:val="00D40605"/>
    <w:rsid w:val="00D407D9"/>
    <w:rsid w:val="00D407FF"/>
    <w:rsid w:val="00D40D4A"/>
    <w:rsid w:val="00D443BA"/>
    <w:rsid w:val="00D44C11"/>
    <w:rsid w:val="00D463FA"/>
    <w:rsid w:val="00D50939"/>
    <w:rsid w:val="00D5198A"/>
    <w:rsid w:val="00D52DE2"/>
    <w:rsid w:val="00D52FB3"/>
    <w:rsid w:val="00D55D9F"/>
    <w:rsid w:val="00D62265"/>
    <w:rsid w:val="00D64959"/>
    <w:rsid w:val="00D64A4A"/>
    <w:rsid w:val="00D657D5"/>
    <w:rsid w:val="00D67B96"/>
    <w:rsid w:val="00D7103A"/>
    <w:rsid w:val="00D71C30"/>
    <w:rsid w:val="00D72522"/>
    <w:rsid w:val="00D73815"/>
    <w:rsid w:val="00D75E8D"/>
    <w:rsid w:val="00D77547"/>
    <w:rsid w:val="00D7768E"/>
    <w:rsid w:val="00D81141"/>
    <w:rsid w:val="00D81ABC"/>
    <w:rsid w:val="00D82E55"/>
    <w:rsid w:val="00D84366"/>
    <w:rsid w:val="00D85A41"/>
    <w:rsid w:val="00D87CCB"/>
    <w:rsid w:val="00D91866"/>
    <w:rsid w:val="00D92E01"/>
    <w:rsid w:val="00D93186"/>
    <w:rsid w:val="00D938A1"/>
    <w:rsid w:val="00D93CCE"/>
    <w:rsid w:val="00D949D9"/>
    <w:rsid w:val="00D97368"/>
    <w:rsid w:val="00DA0C68"/>
    <w:rsid w:val="00DA1230"/>
    <w:rsid w:val="00DA1621"/>
    <w:rsid w:val="00DA33A9"/>
    <w:rsid w:val="00DA3F27"/>
    <w:rsid w:val="00DA41D8"/>
    <w:rsid w:val="00DA4494"/>
    <w:rsid w:val="00DA55B9"/>
    <w:rsid w:val="00DA59B9"/>
    <w:rsid w:val="00DA69D9"/>
    <w:rsid w:val="00DB1F70"/>
    <w:rsid w:val="00DB4590"/>
    <w:rsid w:val="00DB5230"/>
    <w:rsid w:val="00DB69C2"/>
    <w:rsid w:val="00DB6BC1"/>
    <w:rsid w:val="00DC0346"/>
    <w:rsid w:val="00DC6015"/>
    <w:rsid w:val="00DC6250"/>
    <w:rsid w:val="00DC74C6"/>
    <w:rsid w:val="00DC7C78"/>
    <w:rsid w:val="00DD2D7A"/>
    <w:rsid w:val="00DD5A19"/>
    <w:rsid w:val="00DE09F5"/>
    <w:rsid w:val="00DE1AE3"/>
    <w:rsid w:val="00DE4FE3"/>
    <w:rsid w:val="00DE65D8"/>
    <w:rsid w:val="00DE7960"/>
    <w:rsid w:val="00DF1548"/>
    <w:rsid w:val="00DF1822"/>
    <w:rsid w:val="00DF25A1"/>
    <w:rsid w:val="00DF28E4"/>
    <w:rsid w:val="00DF3110"/>
    <w:rsid w:val="00DF402D"/>
    <w:rsid w:val="00DF43A9"/>
    <w:rsid w:val="00DF5117"/>
    <w:rsid w:val="00DF59A4"/>
    <w:rsid w:val="00DF6465"/>
    <w:rsid w:val="00DF7C69"/>
    <w:rsid w:val="00E0209E"/>
    <w:rsid w:val="00E03B0A"/>
    <w:rsid w:val="00E04158"/>
    <w:rsid w:val="00E04CCA"/>
    <w:rsid w:val="00E10040"/>
    <w:rsid w:val="00E12ABA"/>
    <w:rsid w:val="00E154DA"/>
    <w:rsid w:val="00E16DB5"/>
    <w:rsid w:val="00E250E2"/>
    <w:rsid w:val="00E277CE"/>
    <w:rsid w:val="00E27D40"/>
    <w:rsid w:val="00E302FC"/>
    <w:rsid w:val="00E304CC"/>
    <w:rsid w:val="00E3736D"/>
    <w:rsid w:val="00E4338B"/>
    <w:rsid w:val="00E46471"/>
    <w:rsid w:val="00E50256"/>
    <w:rsid w:val="00E50B49"/>
    <w:rsid w:val="00E510B6"/>
    <w:rsid w:val="00E51324"/>
    <w:rsid w:val="00E54749"/>
    <w:rsid w:val="00E56488"/>
    <w:rsid w:val="00E566A5"/>
    <w:rsid w:val="00E6236D"/>
    <w:rsid w:val="00E65230"/>
    <w:rsid w:val="00E71814"/>
    <w:rsid w:val="00E719E7"/>
    <w:rsid w:val="00E71B13"/>
    <w:rsid w:val="00E81239"/>
    <w:rsid w:val="00E8135D"/>
    <w:rsid w:val="00E82C8A"/>
    <w:rsid w:val="00E851E9"/>
    <w:rsid w:val="00E91B5E"/>
    <w:rsid w:val="00E93EF5"/>
    <w:rsid w:val="00E9760B"/>
    <w:rsid w:val="00E976C0"/>
    <w:rsid w:val="00EA09FF"/>
    <w:rsid w:val="00EA0AF1"/>
    <w:rsid w:val="00EA1160"/>
    <w:rsid w:val="00EA1784"/>
    <w:rsid w:val="00EA1CBE"/>
    <w:rsid w:val="00EA2EC5"/>
    <w:rsid w:val="00EA4DEE"/>
    <w:rsid w:val="00EA5F32"/>
    <w:rsid w:val="00EB21EB"/>
    <w:rsid w:val="00EB281F"/>
    <w:rsid w:val="00EB2F28"/>
    <w:rsid w:val="00EB3460"/>
    <w:rsid w:val="00EB6624"/>
    <w:rsid w:val="00EB69E5"/>
    <w:rsid w:val="00EC0866"/>
    <w:rsid w:val="00EC0E53"/>
    <w:rsid w:val="00EC38E7"/>
    <w:rsid w:val="00EC482E"/>
    <w:rsid w:val="00EC73EC"/>
    <w:rsid w:val="00EC7BE3"/>
    <w:rsid w:val="00ED1B60"/>
    <w:rsid w:val="00ED1E49"/>
    <w:rsid w:val="00ED2577"/>
    <w:rsid w:val="00ED3690"/>
    <w:rsid w:val="00ED377C"/>
    <w:rsid w:val="00ED489D"/>
    <w:rsid w:val="00ED4E19"/>
    <w:rsid w:val="00ED511F"/>
    <w:rsid w:val="00ED797D"/>
    <w:rsid w:val="00ED79FC"/>
    <w:rsid w:val="00EE17C1"/>
    <w:rsid w:val="00EE4303"/>
    <w:rsid w:val="00EE75F7"/>
    <w:rsid w:val="00EE7744"/>
    <w:rsid w:val="00EF03C6"/>
    <w:rsid w:val="00EF2C52"/>
    <w:rsid w:val="00EF2F4B"/>
    <w:rsid w:val="00F00673"/>
    <w:rsid w:val="00F035B1"/>
    <w:rsid w:val="00F07A96"/>
    <w:rsid w:val="00F10995"/>
    <w:rsid w:val="00F115EC"/>
    <w:rsid w:val="00F11B23"/>
    <w:rsid w:val="00F11C70"/>
    <w:rsid w:val="00F12018"/>
    <w:rsid w:val="00F13FCC"/>
    <w:rsid w:val="00F14B32"/>
    <w:rsid w:val="00F16412"/>
    <w:rsid w:val="00F16BC3"/>
    <w:rsid w:val="00F17DEE"/>
    <w:rsid w:val="00F20295"/>
    <w:rsid w:val="00F21B1E"/>
    <w:rsid w:val="00F24ACF"/>
    <w:rsid w:val="00F33DA6"/>
    <w:rsid w:val="00F34C29"/>
    <w:rsid w:val="00F36783"/>
    <w:rsid w:val="00F40A33"/>
    <w:rsid w:val="00F416B1"/>
    <w:rsid w:val="00F44C93"/>
    <w:rsid w:val="00F45BBC"/>
    <w:rsid w:val="00F4701C"/>
    <w:rsid w:val="00F47E8B"/>
    <w:rsid w:val="00F50415"/>
    <w:rsid w:val="00F554EE"/>
    <w:rsid w:val="00F56311"/>
    <w:rsid w:val="00F563C8"/>
    <w:rsid w:val="00F6010D"/>
    <w:rsid w:val="00F6140A"/>
    <w:rsid w:val="00F6150A"/>
    <w:rsid w:val="00F61917"/>
    <w:rsid w:val="00F66BFD"/>
    <w:rsid w:val="00F72755"/>
    <w:rsid w:val="00F744AA"/>
    <w:rsid w:val="00F75391"/>
    <w:rsid w:val="00F7651B"/>
    <w:rsid w:val="00F77CD6"/>
    <w:rsid w:val="00F80E49"/>
    <w:rsid w:val="00F8315E"/>
    <w:rsid w:val="00F84599"/>
    <w:rsid w:val="00F8544F"/>
    <w:rsid w:val="00F859B2"/>
    <w:rsid w:val="00F91F38"/>
    <w:rsid w:val="00F93F38"/>
    <w:rsid w:val="00F94F0E"/>
    <w:rsid w:val="00F955E6"/>
    <w:rsid w:val="00FA0756"/>
    <w:rsid w:val="00FA16CF"/>
    <w:rsid w:val="00FA3630"/>
    <w:rsid w:val="00FA49B6"/>
    <w:rsid w:val="00FA6FDD"/>
    <w:rsid w:val="00FA72F1"/>
    <w:rsid w:val="00FB045F"/>
    <w:rsid w:val="00FB0D1E"/>
    <w:rsid w:val="00FB3F07"/>
    <w:rsid w:val="00FB4D39"/>
    <w:rsid w:val="00FB5520"/>
    <w:rsid w:val="00FB56FB"/>
    <w:rsid w:val="00FB5752"/>
    <w:rsid w:val="00FC071E"/>
    <w:rsid w:val="00FC2627"/>
    <w:rsid w:val="00FD2691"/>
    <w:rsid w:val="00FD699F"/>
    <w:rsid w:val="00FE04D9"/>
    <w:rsid w:val="00FE1657"/>
    <w:rsid w:val="00FE1924"/>
    <w:rsid w:val="00FE1E45"/>
    <w:rsid w:val="00FE262F"/>
    <w:rsid w:val="00FE2A50"/>
    <w:rsid w:val="00FE2EFF"/>
    <w:rsid w:val="00FE3A5F"/>
    <w:rsid w:val="00FE3D73"/>
    <w:rsid w:val="00FE3DF5"/>
    <w:rsid w:val="00FE41AB"/>
    <w:rsid w:val="00FE5140"/>
    <w:rsid w:val="00FF107A"/>
    <w:rsid w:val="00FF28C0"/>
    <w:rsid w:val="00FF28C3"/>
    <w:rsid w:val="00FF34FF"/>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9B99"/>
  <w15:chartTrackingRefBased/>
  <w15:docId w15:val="{C159E7F1-21AE-41CB-9101-369C31B1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B37"/>
    <w:pPr>
      <w:spacing w:after="0" w:line="240" w:lineRule="auto"/>
      <w:ind w:firstLine="720"/>
    </w:pPr>
    <w:rPr>
      <w:rFonts w:cs="Times New Roman"/>
      <w:lang w:bidi="en-US"/>
    </w:rPr>
  </w:style>
  <w:style w:type="paragraph" w:styleId="Heading4">
    <w:name w:val="heading 4"/>
    <w:basedOn w:val="Normal"/>
    <w:link w:val="Heading4Char"/>
    <w:uiPriority w:val="9"/>
    <w:qFormat/>
    <w:rsid w:val="00DB4590"/>
    <w:pPr>
      <w:spacing w:before="100" w:beforeAutospacing="1" w:after="100" w:afterAutospacing="1"/>
      <w:ind w:firstLine="0"/>
      <w:outlineLvl w:val="3"/>
    </w:pPr>
    <w:rPr>
      <w:rFonts w:eastAsia="Times New Roman"/>
      <w:b/>
      <w:bCs/>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6140A"/>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1D652B"/>
    <w:rPr>
      <w:rFonts w:eastAsiaTheme="majorEastAsia"/>
      <w:sz w:val="20"/>
    </w:rPr>
  </w:style>
  <w:style w:type="paragraph" w:styleId="NoSpacing">
    <w:name w:val="No Spacing"/>
    <w:uiPriority w:val="1"/>
    <w:qFormat/>
    <w:rsid w:val="002A42DE"/>
    <w:pPr>
      <w:spacing w:after="0" w:line="240" w:lineRule="auto"/>
    </w:pPr>
  </w:style>
  <w:style w:type="paragraph" w:styleId="ListParagraph">
    <w:name w:val="List Paragraph"/>
    <w:basedOn w:val="Normal"/>
    <w:uiPriority w:val="34"/>
    <w:qFormat/>
    <w:rsid w:val="00411B37"/>
    <w:pPr>
      <w:ind w:left="720"/>
      <w:contextualSpacing/>
    </w:pPr>
  </w:style>
  <w:style w:type="table" w:styleId="TableGrid">
    <w:name w:val="Table Grid"/>
    <w:basedOn w:val="TableNormal"/>
    <w:uiPriority w:val="59"/>
    <w:rsid w:val="00411B37"/>
    <w:pPr>
      <w:spacing w:after="0" w:line="240" w:lineRule="auto"/>
      <w:ind w:firstLine="720"/>
    </w:pPr>
    <w:rPr>
      <w:rFonts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1B37"/>
    <w:pPr>
      <w:tabs>
        <w:tab w:val="center" w:pos="4680"/>
        <w:tab w:val="right" w:pos="9360"/>
      </w:tabs>
    </w:pPr>
  </w:style>
  <w:style w:type="character" w:customStyle="1" w:styleId="FooterChar">
    <w:name w:val="Footer Char"/>
    <w:basedOn w:val="DefaultParagraphFont"/>
    <w:link w:val="Footer"/>
    <w:uiPriority w:val="99"/>
    <w:rsid w:val="00411B37"/>
    <w:rPr>
      <w:rFonts w:cs="Times New Roman"/>
      <w:lang w:bidi="en-US"/>
    </w:rPr>
  </w:style>
  <w:style w:type="paragraph" w:styleId="Header">
    <w:name w:val="header"/>
    <w:basedOn w:val="Normal"/>
    <w:link w:val="HeaderChar"/>
    <w:uiPriority w:val="99"/>
    <w:unhideWhenUsed/>
    <w:rsid w:val="00CB35D8"/>
    <w:pPr>
      <w:tabs>
        <w:tab w:val="center" w:pos="4680"/>
        <w:tab w:val="right" w:pos="9360"/>
      </w:tabs>
    </w:pPr>
  </w:style>
  <w:style w:type="character" w:customStyle="1" w:styleId="HeaderChar">
    <w:name w:val="Header Char"/>
    <w:basedOn w:val="DefaultParagraphFont"/>
    <w:link w:val="Header"/>
    <w:uiPriority w:val="99"/>
    <w:rsid w:val="00CB35D8"/>
    <w:rPr>
      <w:rFonts w:cs="Times New Roman"/>
      <w:lang w:bidi="en-US"/>
    </w:rPr>
  </w:style>
  <w:style w:type="character" w:customStyle="1" w:styleId="DefaultFontHxMailStyle">
    <w:name w:val="Default Font HxMail Style"/>
    <w:basedOn w:val="DefaultParagraphFont"/>
    <w:rsid w:val="00C36FE1"/>
    <w:rPr>
      <w:rFonts w:ascii="Lora" w:hAnsi="Lora" w:hint="default"/>
      <w:b w:val="0"/>
      <w:bCs w:val="0"/>
      <w:i w:val="0"/>
      <w:iCs w:val="0"/>
      <w:strike w:val="0"/>
      <w:dstrike w:val="0"/>
      <w:color w:val="auto"/>
      <w:u w:val="none"/>
      <w:effect w:val="none"/>
    </w:rPr>
  </w:style>
  <w:style w:type="paragraph" w:styleId="NormalWeb">
    <w:name w:val="Normal (Web)"/>
    <w:basedOn w:val="Normal"/>
    <w:uiPriority w:val="99"/>
    <w:unhideWhenUsed/>
    <w:rsid w:val="00371D3D"/>
    <w:pPr>
      <w:spacing w:before="100" w:beforeAutospacing="1" w:after="100" w:afterAutospacing="1"/>
      <w:ind w:firstLine="0"/>
    </w:pPr>
    <w:rPr>
      <w:rFonts w:ascii="Calibri" w:hAnsi="Calibri" w:cs="Calibri"/>
      <w:sz w:val="22"/>
      <w:szCs w:val="22"/>
      <w:lang w:bidi="ar-SA"/>
    </w:rPr>
  </w:style>
  <w:style w:type="character" w:styleId="CommentReference">
    <w:name w:val="annotation reference"/>
    <w:basedOn w:val="DefaultParagraphFont"/>
    <w:uiPriority w:val="99"/>
    <w:semiHidden/>
    <w:unhideWhenUsed/>
    <w:rsid w:val="00F16412"/>
    <w:rPr>
      <w:sz w:val="16"/>
      <w:szCs w:val="16"/>
    </w:rPr>
  </w:style>
  <w:style w:type="paragraph" w:styleId="CommentText">
    <w:name w:val="annotation text"/>
    <w:basedOn w:val="Normal"/>
    <w:link w:val="CommentTextChar"/>
    <w:uiPriority w:val="99"/>
    <w:semiHidden/>
    <w:unhideWhenUsed/>
    <w:rsid w:val="00F16412"/>
    <w:rPr>
      <w:sz w:val="20"/>
      <w:szCs w:val="20"/>
    </w:rPr>
  </w:style>
  <w:style w:type="character" w:customStyle="1" w:styleId="CommentTextChar">
    <w:name w:val="Comment Text Char"/>
    <w:basedOn w:val="DefaultParagraphFont"/>
    <w:link w:val="CommentText"/>
    <w:uiPriority w:val="99"/>
    <w:semiHidden/>
    <w:rsid w:val="00F16412"/>
    <w:rPr>
      <w:rFonts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16412"/>
    <w:rPr>
      <w:b/>
      <w:bCs/>
    </w:rPr>
  </w:style>
  <w:style w:type="character" w:customStyle="1" w:styleId="CommentSubjectChar">
    <w:name w:val="Comment Subject Char"/>
    <w:basedOn w:val="CommentTextChar"/>
    <w:link w:val="CommentSubject"/>
    <w:uiPriority w:val="99"/>
    <w:semiHidden/>
    <w:rsid w:val="00F16412"/>
    <w:rPr>
      <w:rFonts w:cs="Times New Roman"/>
      <w:b/>
      <w:bCs/>
      <w:sz w:val="20"/>
      <w:szCs w:val="20"/>
      <w:lang w:bidi="en-US"/>
    </w:rPr>
  </w:style>
  <w:style w:type="table" w:customStyle="1" w:styleId="TableGrid1">
    <w:name w:val="Table Grid1"/>
    <w:basedOn w:val="TableNormal"/>
    <w:next w:val="TableGrid"/>
    <w:uiPriority w:val="59"/>
    <w:rsid w:val="00E16DB5"/>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pple-converted-space">
    <w:name w:val="gmail-apple-converted-space"/>
    <w:basedOn w:val="DefaultParagraphFont"/>
    <w:rsid w:val="00E51324"/>
  </w:style>
  <w:style w:type="character" w:styleId="Hyperlink">
    <w:name w:val="Hyperlink"/>
    <w:basedOn w:val="DefaultParagraphFont"/>
    <w:uiPriority w:val="99"/>
    <w:unhideWhenUsed/>
    <w:rsid w:val="00C61AB7"/>
    <w:rPr>
      <w:color w:val="0000FF"/>
      <w:u w:val="single"/>
    </w:rPr>
  </w:style>
  <w:style w:type="character" w:styleId="UnresolvedMention">
    <w:name w:val="Unresolved Mention"/>
    <w:basedOn w:val="DefaultParagraphFont"/>
    <w:uiPriority w:val="99"/>
    <w:semiHidden/>
    <w:unhideWhenUsed/>
    <w:rsid w:val="00C61AB7"/>
    <w:rPr>
      <w:color w:val="605E5C"/>
      <w:shd w:val="clear" w:color="auto" w:fill="E1DFDD"/>
    </w:rPr>
  </w:style>
  <w:style w:type="table" w:customStyle="1" w:styleId="TableGrid2">
    <w:name w:val="Table Grid2"/>
    <w:basedOn w:val="TableNormal"/>
    <w:next w:val="TableGrid"/>
    <w:uiPriority w:val="59"/>
    <w:rsid w:val="009644DB"/>
    <w:pPr>
      <w:spacing w:after="0" w:line="240" w:lineRule="auto"/>
    </w:pPr>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DE09F5"/>
  </w:style>
  <w:style w:type="paragraph" w:styleId="Revision">
    <w:name w:val="Revision"/>
    <w:hidden/>
    <w:uiPriority w:val="99"/>
    <w:semiHidden/>
    <w:rsid w:val="00C96FEF"/>
    <w:pPr>
      <w:spacing w:after="0" w:line="240" w:lineRule="auto"/>
    </w:pPr>
    <w:rPr>
      <w:rFonts w:cs="Times New Roman"/>
      <w:lang w:bidi="en-US"/>
    </w:rPr>
  </w:style>
  <w:style w:type="character" w:customStyle="1" w:styleId="Heading4Char">
    <w:name w:val="Heading 4 Char"/>
    <w:basedOn w:val="DefaultParagraphFont"/>
    <w:link w:val="Heading4"/>
    <w:uiPriority w:val="9"/>
    <w:rsid w:val="00DB4590"/>
    <w:rPr>
      <w:rFonts w:eastAsia="Times New Roman" w:cs="Times New Roman"/>
      <w:b/>
      <w:bCs/>
    </w:rPr>
  </w:style>
  <w:style w:type="character" w:customStyle="1" w:styleId="contentpasted3">
    <w:name w:val="contentpasted3"/>
    <w:basedOn w:val="DefaultParagraphFont"/>
    <w:rsid w:val="007D2663"/>
  </w:style>
  <w:style w:type="character" w:customStyle="1" w:styleId="contentpasted1">
    <w:name w:val="contentpasted1"/>
    <w:basedOn w:val="DefaultParagraphFont"/>
    <w:rsid w:val="007D2663"/>
  </w:style>
  <w:style w:type="character" w:customStyle="1" w:styleId="contentpasted2">
    <w:name w:val="contentpasted2"/>
    <w:basedOn w:val="DefaultParagraphFont"/>
    <w:rsid w:val="007D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2202">
      <w:bodyDiv w:val="1"/>
      <w:marLeft w:val="0"/>
      <w:marRight w:val="0"/>
      <w:marTop w:val="0"/>
      <w:marBottom w:val="0"/>
      <w:divBdr>
        <w:top w:val="none" w:sz="0" w:space="0" w:color="auto"/>
        <w:left w:val="none" w:sz="0" w:space="0" w:color="auto"/>
        <w:bottom w:val="none" w:sz="0" w:space="0" w:color="auto"/>
        <w:right w:val="none" w:sz="0" w:space="0" w:color="auto"/>
      </w:divBdr>
    </w:div>
    <w:div w:id="23139245">
      <w:bodyDiv w:val="1"/>
      <w:marLeft w:val="0"/>
      <w:marRight w:val="0"/>
      <w:marTop w:val="0"/>
      <w:marBottom w:val="0"/>
      <w:divBdr>
        <w:top w:val="none" w:sz="0" w:space="0" w:color="auto"/>
        <w:left w:val="none" w:sz="0" w:space="0" w:color="auto"/>
        <w:bottom w:val="none" w:sz="0" w:space="0" w:color="auto"/>
        <w:right w:val="none" w:sz="0" w:space="0" w:color="auto"/>
      </w:divBdr>
    </w:div>
    <w:div w:id="84809839">
      <w:bodyDiv w:val="1"/>
      <w:marLeft w:val="0"/>
      <w:marRight w:val="0"/>
      <w:marTop w:val="0"/>
      <w:marBottom w:val="0"/>
      <w:divBdr>
        <w:top w:val="none" w:sz="0" w:space="0" w:color="auto"/>
        <w:left w:val="none" w:sz="0" w:space="0" w:color="auto"/>
        <w:bottom w:val="none" w:sz="0" w:space="0" w:color="auto"/>
        <w:right w:val="none" w:sz="0" w:space="0" w:color="auto"/>
      </w:divBdr>
    </w:div>
    <w:div w:id="149946632">
      <w:bodyDiv w:val="1"/>
      <w:marLeft w:val="0"/>
      <w:marRight w:val="0"/>
      <w:marTop w:val="0"/>
      <w:marBottom w:val="0"/>
      <w:divBdr>
        <w:top w:val="none" w:sz="0" w:space="0" w:color="auto"/>
        <w:left w:val="none" w:sz="0" w:space="0" w:color="auto"/>
        <w:bottom w:val="none" w:sz="0" w:space="0" w:color="auto"/>
        <w:right w:val="none" w:sz="0" w:space="0" w:color="auto"/>
      </w:divBdr>
    </w:div>
    <w:div w:id="151797330">
      <w:bodyDiv w:val="1"/>
      <w:marLeft w:val="0"/>
      <w:marRight w:val="0"/>
      <w:marTop w:val="0"/>
      <w:marBottom w:val="0"/>
      <w:divBdr>
        <w:top w:val="none" w:sz="0" w:space="0" w:color="auto"/>
        <w:left w:val="none" w:sz="0" w:space="0" w:color="auto"/>
        <w:bottom w:val="none" w:sz="0" w:space="0" w:color="auto"/>
        <w:right w:val="none" w:sz="0" w:space="0" w:color="auto"/>
      </w:divBdr>
    </w:div>
    <w:div w:id="152919550">
      <w:bodyDiv w:val="1"/>
      <w:marLeft w:val="0"/>
      <w:marRight w:val="0"/>
      <w:marTop w:val="0"/>
      <w:marBottom w:val="0"/>
      <w:divBdr>
        <w:top w:val="none" w:sz="0" w:space="0" w:color="auto"/>
        <w:left w:val="none" w:sz="0" w:space="0" w:color="auto"/>
        <w:bottom w:val="none" w:sz="0" w:space="0" w:color="auto"/>
        <w:right w:val="none" w:sz="0" w:space="0" w:color="auto"/>
      </w:divBdr>
    </w:div>
    <w:div w:id="183517945">
      <w:bodyDiv w:val="1"/>
      <w:marLeft w:val="0"/>
      <w:marRight w:val="0"/>
      <w:marTop w:val="0"/>
      <w:marBottom w:val="0"/>
      <w:divBdr>
        <w:top w:val="none" w:sz="0" w:space="0" w:color="auto"/>
        <w:left w:val="none" w:sz="0" w:space="0" w:color="auto"/>
        <w:bottom w:val="none" w:sz="0" w:space="0" w:color="auto"/>
        <w:right w:val="none" w:sz="0" w:space="0" w:color="auto"/>
      </w:divBdr>
    </w:div>
    <w:div w:id="192622070">
      <w:bodyDiv w:val="1"/>
      <w:marLeft w:val="0"/>
      <w:marRight w:val="0"/>
      <w:marTop w:val="0"/>
      <w:marBottom w:val="0"/>
      <w:divBdr>
        <w:top w:val="none" w:sz="0" w:space="0" w:color="auto"/>
        <w:left w:val="none" w:sz="0" w:space="0" w:color="auto"/>
        <w:bottom w:val="none" w:sz="0" w:space="0" w:color="auto"/>
        <w:right w:val="none" w:sz="0" w:space="0" w:color="auto"/>
      </w:divBdr>
    </w:div>
    <w:div w:id="200285484">
      <w:bodyDiv w:val="1"/>
      <w:marLeft w:val="0"/>
      <w:marRight w:val="0"/>
      <w:marTop w:val="0"/>
      <w:marBottom w:val="0"/>
      <w:divBdr>
        <w:top w:val="none" w:sz="0" w:space="0" w:color="auto"/>
        <w:left w:val="none" w:sz="0" w:space="0" w:color="auto"/>
        <w:bottom w:val="none" w:sz="0" w:space="0" w:color="auto"/>
        <w:right w:val="none" w:sz="0" w:space="0" w:color="auto"/>
      </w:divBdr>
    </w:div>
    <w:div w:id="232391902">
      <w:bodyDiv w:val="1"/>
      <w:marLeft w:val="0"/>
      <w:marRight w:val="0"/>
      <w:marTop w:val="0"/>
      <w:marBottom w:val="0"/>
      <w:divBdr>
        <w:top w:val="none" w:sz="0" w:space="0" w:color="auto"/>
        <w:left w:val="none" w:sz="0" w:space="0" w:color="auto"/>
        <w:bottom w:val="none" w:sz="0" w:space="0" w:color="auto"/>
        <w:right w:val="none" w:sz="0" w:space="0" w:color="auto"/>
      </w:divBdr>
    </w:div>
    <w:div w:id="235212776">
      <w:bodyDiv w:val="1"/>
      <w:marLeft w:val="0"/>
      <w:marRight w:val="0"/>
      <w:marTop w:val="0"/>
      <w:marBottom w:val="0"/>
      <w:divBdr>
        <w:top w:val="none" w:sz="0" w:space="0" w:color="auto"/>
        <w:left w:val="none" w:sz="0" w:space="0" w:color="auto"/>
        <w:bottom w:val="none" w:sz="0" w:space="0" w:color="auto"/>
        <w:right w:val="none" w:sz="0" w:space="0" w:color="auto"/>
      </w:divBdr>
    </w:div>
    <w:div w:id="239172486">
      <w:bodyDiv w:val="1"/>
      <w:marLeft w:val="0"/>
      <w:marRight w:val="0"/>
      <w:marTop w:val="0"/>
      <w:marBottom w:val="0"/>
      <w:divBdr>
        <w:top w:val="none" w:sz="0" w:space="0" w:color="auto"/>
        <w:left w:val="none" w:sz="0" w:space="0" w:color="auto"/>
        <w:bottom w:val="none" w:sz="0" w:space="0" w:color="auto"/>
        <w:right w:val="none" w:sz="0" w:space="0" w:color="auto"/>
      </w:divBdr>
    </w:div>
    <w:div w:id="259340178">
      <w:bodyDiv w:val="1"/>
      <w:marLeft w:val="0"/>
      <w:marRight w:val="0"/>
      <w:marTop w:val="0"/>
      <w:marBottom w:val="0"/>
      <w:divBdr>
        <w:top w:val="none" w:sz="0" w:space="0" w:color="auto"/>
        <w:left w:val="none" w:sz="0" w:space="0" w:color="auto"/>
        <w:bottom w:val="none" w:sz="0" w:space="0" w:color="auto"/>
        <w:right w:val="none" w:sz="0" w:space="0" w:color="auto"/>
      </w:divBdr>
      <w:divsChild>
        <w:div w:id="2107728386">
          <w:marLeft w:val="0"/>
          <w:marRight w:val="0"/>
          <w:marTop w:val="0"/>
          <w:marBottom w:val="0"/>
          <w:divBdr>
            <w:top w:val="none" w:sz="0" w:space="0" w:color="auto"/>
            <w:left w:val="none" w:sz="0" w:space="0" w:color="auto"/>
            <w:bottom w:val="none" w:sz="0" w:space="0" w:color="auto"/>
            <w:right w:val="none" w:sz="0" w:space="0" w:color="auto"/>
          </w:divBdr>
          <w:divsChild>
            <w:div w:id="1580483047">
              <w:marLeft w:val="0"/>
              <w:marRight w:val="0"/>
              <w:marTop w:val="0"/>
              <w:marBottom w:val="0"/>
              <w:divBdr>
                <w:top w:val="none" w:sz="0" w:space="0" w:color="auto"/>
                <w:left w:val="none" w:sz="0" w:space="0" w:color="auto"/>
                <w:bottom w:val="none" w:sz="0" w:space="0" w:color="auto"/>
                <w:right w:val="none" w:sz="0" w:space="0" w:color="auto"/>
              </w:divBdr>
            </w:div>
            <w:div w:id="1447042654">
              <w:marLeft w:val="0"/>
              <w:marRight w:val="0"/>
              <w:marTop w:val="0"/>
              <w:marBottom w:val="0"/>
              <w:divBdr>
                <w:top w:val="none" w:sz="0" w:space="0" w:color="auto"/>
                <w:left w:val="none" w:sz="0" w:space="0" w:color="auto"/>
                <w:bottom w:val="none" w:sz="0" w:space="0" w:color="auto"/>
                <w:right w:val="none" w:sz="0" w:space="0" w:color="auto"/>
              </w:divBdr>
            </w:div>
            <w:div w:id="21464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9885">
      <w:bodyDiv w:val="1"/>
      <w:marLeft w:val="0"/>
      <w:marRight w:val="0"/>
      <w:marTop w:val="0"/>
      <w:marBottom w:val="0"/>
      <w:divBdr>
        <w:top w:val="none" w:sz="0" w:space="0" w:color="auto"/>
        <w:left w:val="none" w:sz="0" w:space="0" w:color="auto"/>
        <w:bottom w:val="none" w:sz="0" w:space="0" w:color="auto"/>
        <w:right w:val="none" w:sz="0" w:space="0" w:color="auto"/>
      </w:divBdr>
    </w:div>
    <w:div w:id="291253994">
      <w:bodyDiv w:val="1"/>
      <w:marLeft w:val="0"/>
      <w:marRight w:val="0"/>
      <w:marTop w:val="0"/>
      <w:marBottom w:val="0"/>
      <w:divBdr>
        <w:top w:val="none" w:sz="0" w:space="0" w:color="auto"/>
        <w:left w:val="none" w:sz="0" w:space="0" w:color="auto"/>
        <w:bottom w:val="none" w:sz="0" w:space="0" w:color="auto"/>
        <w:right w:val="none" w:sz="0" w:space="0" w:color="auto"/>
      </w:divBdr>
    </w:div>
    <w:div w:id="300379798">
      <w:bodyDiv w:val="1"/>
      <w:marLeft w:val="0"/>
      <w:marRight w:val="0"/>
      <w:marTop w:val="0"/>
      <w:marBottom w:val="0"/>
      <w:divBdr>
        <w:top w:val="none" w:sz="0" w:space="0" w:color="auto"/>
        <w:left w:val="none" w:sz="0" w:space="0" w:color="auto"/>
        <w:bottom w:val="none" w:sz="0" w:space="0" w:color="auto"/>
        <w:right w:val="none" w:sz="0" w:space="0" w:color="auto"/>
      </w:divBdr>
    </w:div>
    <w:div w:id="331032238">
      <w:bodyDiv w:val="1"/>
      <w:marLeft w:val="0"/>
      <w:marRight w:val="0"/>
      <w:marTop w:val="0"/>
      <w:marBottom w:val="0"/>
      <w:divBdr>
        <w:top w:val="none" w:sz="0" w:space="0" w:color="auto"/>
        <w:left w:val="none" w:sz="0" w:space="0" w:color="auto"/>
        <w:bottom w:val="none" w:sz="0" w:space="0" w:color="auto"/>
        <w:right w:val="none" w:sz="0" w:space="0" w:color="auto"/>
      </w:divBdr>
    </w:div>
    <w:div w:id="343166456">
      <w:bodyDiv w:val="1"/>
      <w:marLeft w:val="0"/>
      <w:marRight w:val="0"/>
      <w:marTop w:val="0"/>
      <w:marBottom w:val="0"/>
      <w:divBdr>
        <w:top w:val="none" w:sz="0" w:space="0" w:color="auto"/>
        <w:left w:val="none" w:sz="0" w:space="0" w:color="auto"/>
        <w:bottom w:val="none" w:sz="0" w:space="0" w:color="auto"/>
        <w:right w:val="none" w:sz="0" w:space="0" w:color="auto"/>
      </w:divBdr>
    </w:div>
    <w:div w:id="347366509">
      <w:bodyDiv w:val="1"/>
      <w:marLeft w:val="0"/>
      <w:marRight w:val="0"/>
      <w:marTop w:val="0"/>
      <w:marBottom w:val="0"/>
      <w:divBdr>
        <w:top w:val="none" w:sz="0" w:space="0" w:color="auto"/>
        <w:left w:val="none" w:sz="0" w:space="0" w:color="auto"/>
        <w:bottom w:val="none" w:sz="0" w:space="0" w:color="auto"/>
        <w:right w:val="none" w:sz="0" w:space="0" w:color="auto"/>
      </w:divBdr>
    </w:div>
    <w:div w:id="372966321">
      <w:bodyDiv w:val="1"/>
      <w:marLeft w:val="0"/>
      <w:marRight w:val="0"/>
      <w:marTop w:val="0"/>
      <w:marBottom w:val="0"/>
      <w:divBdr>
        <w:top w:val="none" w:sz="0" w:space="0" w:color="auto"/>
        <w:left w:val="none" w:sz="0" w:space="0" w:color="auto"/>
        <w:bottom w:val="none" w:sz="0" w:space="0" w:color="auto"/>
        <w:right w:val="none" w:sz="0" w:space="0" w:color="auto"/>
      </w:divBdr>
    </w:div>
    <w:div w:id="378671336">
      <w:bodyDiv w:val="1"/>
      <w:marLeft w:val="0"/>
      <w:marRight w:val="0"/>
      <w:marTop w:val="0"/>
      <w:marBottom w:val="0"/>
      <w:divBdr>
        <w:top w:val="none" w:sz="0" w:space="0" w:color="auto"/>
        <w:left w:val="none" w:sz="0" w:space="0" w:color="auto"/>
        <w:bottom w:val="none" w:sz="0" w:space="0" w:color="auto"/>
        <w:right w:val="none" w:sz="0" w:space="0" w:color="auto"/>
      </w:divBdr>
      <w:divsChild>
        <w:div w:id="293027446">
          <w:marLeft w:val="0"/>
          <w:marRight w:val="0"/>
          <w:marTop w:val="0"/>
          <w:marBottom w:val="0"/>
          <w:divBdr>
            <w:top w:val="none" w:sz="0" w:space="0" w:color="auto"/>
            <w:left w:val="none" w:sz="0" w:space="0" w:color="auto"/>
            <w:bottom w:val="none" w:sz="0" w:space="0" w:color="auto"/>
            <w:right w:val="none" w:sz="0" w:space="0" w:color="auto"/>
          </w:divBdr>
        </w:div>
        <w:div w:id="1021510426">
          <w:marLeft w:val="0"/>
          <w:marRight w:val="0"/>
          <w:marTop w:val="0"/>
          <w:marBottom w:val="0"/>
          <w:divBdr>
            <w:top w:val="none" w:sz="0" w:space="0" w:color="auto"/>
            <w:left w:val="none" w:sz="0" w:space="0" w:color="auto"/>
            <w:bottom w:val="none" w:sz="0" w:space="0" w:color="auto"/>
            <w:right w:val="none" w:sz="0" w:space="0" w:color="auto"/>
          </w:divBdr>
        </w:div>
      </w:divsChild>
    </w:div>
    <w:div w:id="386077254">
      <w:bodyDiv w:val="1"/>
      <w:marLeft w:val="0"/>
      <w:marRight w:val="0"/>
      <w:marTop w:val="0"/>
      <w:marBottom w:val="0"/>
      <w:divBdr>
        <w:top w:val="none" w:sz="0" w:space="0" w:color="auto"/>
        <w:left w:val="none" w:sz="0" w:space="0" w:color="auto"/>
        <w:bottom w:val="none" w:sz="0" w:space="0" w:color="auto"/>
        <w:right w:val="none" w:sz="0" w:space="0" w:color="auto"/>
      </w:divBdr>
    </w:div>
    <w:div w:id="395279602">
      <w:bodyDiv w:val="1"/>
      <w:marLeft w:val="0"/>
      <w:marRight w:val="0"/>
      <w:marTop w:val="0"/>
      <w:marBottom w:val="0"/>
      <w:divBdr>
        <w:top w:val="none" w:sz="0" w:space="0" w:color="auto"/>
        <w:left w:val="none" w:sz="0" w:space="0" w:color="auto"/>
        <w:bottom w:val="none" w:sz="0" w:space="0" w:color="auto"/>
        <w:right w:val="none" w:sz="0" w:space="0" w:color="auto"/>
      </w:divBdr>
    </w:div>
    <w:div w:id="410810358">
      <w:bodyDiv w:val="1"/>
      <w:marLeft w:val="0"/>
      <w:marRight w:val="0"/>
      <w:marTop w:val="0"/>
      <w:marBottom w:val="0"/>
      <w:divBdr>
        <w:top w:val="none" w:sz="0" w:space="0" w:color="auto"/>
        <w:left w:val="none" w:sz="0" w:space="0" w:color="auto"/>
        <w:bottom w:val="none" w:sz="0" w:space="0" w:color="auto"/>
        <w:right w:val="none" w:sz="0" w:space="0" w:color="auto"/>
      </w:divBdr>
      <w:divsChild>
        <w:div w:id="1904637006">
          <w:marLeft w:val="0"/>
          <w:marRight w:val="0"/>
          <w:marTop w:val="0"/>
          <w:marBottom w:val="0"/>
          <w:divBdr>
            <w:top w:val="none" w:sz="0" w:space="0" w:color="auto"/>
            <w:left w:val="none" w:sz="0" w:space="0" w:color="auto"/>
            <w:bottom w:val="none" w:sz="0" w:space="0" w:color="auto"/>
            <w:right w:val="none" w:sz="0" w:space="0" w:color="auto"/>
          </w:divBdr>
        </w:div>
        <w:div w:id="259534205">
          <w:marLeft w:val="0"/>
          <w:marRight w:val="0"/>
          <w:marTop w:val="0"/>
          <w:marBottom w:val="0"/>
          <w:divBdr>
            <w:top w:val="none" w:sz="0" w:space="0" w:color="auto"/>
            <w:left w:val="none" w:sz="0" w:space="0" w:color="auto"/>
            <w:bottom w:val="none" w:sz="0" w:space="0" w:color="auto"/>
            <w:right w:val="none" w:sz="0" w:space="0" w:color="auto"/>
          </w:divBdr>
        </w:div>
      </w:divsChild>
    </w:div>
    <w:div w:id="417143980">
      <w:bodyDiv w:val="1"/>
      <w:marLeft w:val="0"/>
      <w:marRight w:val="0"/>
      <w:marTop w:val="0"/>
      <w:marBottom w:val="0"/>
      <w:divBdr>
        <w:top w:val="none" w:sz="0" w:space="0" w:color="auto"/>
        <w:left w:val="none" w:sz="0" w:space="0" w:color="auto"/>
        <w:bottom w:val="none" w:sz="0" w:space="0" w:color="auto"/>
        <w:right w:val="none" w:sz="0" w:space="0" w:color="auto"/>
      </w:divBdr>
    </w:div>
    <w:div w:id="428965559">
      <w:bodyDiv w:val="1"/>
      <w:marLeft w:val="0"/>
      <w:marRight w:val="0"/>
      <w:marTop w:val="0"/>
      <w:marBottom w:val="0"/>
      <w:divBdr>
        <w:top w:val="none" w:sz="0" w:space="0" w:color="auto"/>
        <w:left w:val="none" w:sz="0" w:space="0" w:color="auto"/>
        <w:bottom w:val="none" w:sz="0" w:space="0" w:color="auto"/>
        <w:right w:val="none" w:sz="0" w:space="0" w:color="auto"/>
      </w:divBdr>
    </w:div>
    <w:div w:id="438838091">
      <w:bodyDiv w:val="1"/>
      <w:marLeft w:val="0"/>
      <w:marRight w:val="0"/>
      <w:marTop w:val="0"/>
      <w:marBottom w:val="0"/>
      <w:divBdr>
        <w:top w:val="none" w:sz="0" w:space="0" w:color="auto"/>
        <w:left w:val="none" w:sz="0" w:space="0" w:color="auto"/>
        <w:bottom w:val="none" w:sz="0" w:space="0" w:color="auto"/>
        <w:right w:val="none" w:sz="0" w:space="0" w:color="auto"/>
      </w:divBdr>
    </w:div>
    <w:div w:id="460272696">
      <w:bodyDiv w:val="1"/>
      <w:marLeft w:val="0"/>
      <w:marRight w:val="0"/>
      <w:marTop w:val="0"/>
      <w:marBottom w:val="0"/>
      <w:divBdr>
        <w:top w:val="none" w:sz="0" w:space="0" w:color="auto"/>
        <w:left w:val="none" w:sz="0" w:space="0" w:color="auto"/>
        <w:bottom w:val="none" w:sz="0" w:space="0" w:color="auto"/>
        <w:right w:val="none" w:sz="0" w:space="0" w:color="auto"/>
      </w:divBdr>
    </w:div>
    <w:div w:id="463888744">
      <w:bodyDiv w:val="1"/>
      <w:marLeft w:val="0"/>
      <w:marRight w:val="0"/>
      <w:marTop w:val="0"/>
      <w:marBottom w:val="0"/>
      <w:divBdr>
        <w:top w:val="none" w:sz="0" w:space="0" w:color="auto"/>
        <w:left w:val="none" w:sz="0" w:space="0" w:color="auto"/>
        <w:bottom w:val="none" w:sz="0" w:space="0" w:color="auto"/>
        <w:right w:val="none" w:sz="0" w:space="0" w:color="auto"/>
      </w:divBdr>
    </w:div>
    <w:div w:id="465050734">
      <w:bodyDiv w:val="1"/>
      <w:marLeft w:val="0"/>
      <w:marRight w:val="0"/>
      <w:marTop w:val="0"/>
      <w:marBottom w:val="0"/>
      <w:divBdr>
        <w:top w:val="none" w:sz="0" w:space="0" w:color="auto"/>
        <w:left w:val="none" w:sz="0" w:space="0" w:color="auto"/>
        <w:bottom w:val="none" w:sz="0" w:space="0" w:color="auto"/>
        <w:right w:val="none" w:sz="0" w:space="0" w:color="auto"/>
      </w:divBdr>
    </w:div>
    <w:div w:id="466361135">
      <w:bodyDiv w:val="1"/>
      <w:marLeft w:val="0"/>
      <w:marRight w:val="0"/>
      <w:marTop w:val="0"/>
      <w:marBottom w:val="0"/>
      <w:divBdr>
        <w:top w:val="none" w:sz="0" w:space="0" w:color="auto"/>
        <w:left w:val="none" w:sz="0" w:space="0" w:color="auto"/>
        <w:bottom w:val="none" w:sz="0" w:space="0" w:color="auto"/>
        <w:right w:val="none" w:sz="0" w:space="0" w:color="auto"/>
      </w:divBdr>
    </w:div>
    <w:div w:id="485049368">
      <w:bodyDiv w:val="1"/>
      <w:marLeft w:val="0"/>
      <w:marRight w:val="0"/>
      <w:marTop w:val="0"/>
      <w:marBottom w:val="0"/>
      <w:divBdr>
        <w:top w:val="none" w:sz="0" w:space="0" w:color="auto"/>
        <w:left w:val="none" w:sz="0" w:space="0" w:color="auto"/>
        <w:bottom w:val="none" w:sz="0" w:space="0" w:color="auto"/>
        <w:right w:val="none" w:sz="0" w:space="0" w:color="auto"/>
      </w:divBdr>
    </w:div>
    <w:div w:id="504588082">
      <w:bodyDiv w:val="1"/>
      <w:marLeft w:val="0"/>
      <w:marRight w:val="0"/>
      <w:marTop w:val="0"/>
      <w:marBottom w:val="0"/>
      <w:divBdr>
        <w:top w:val="none" w:sz="0" w:space="0" w:color="auto"/>
        <w:left w:val="none" w:sz="0" w:space="0" w:color="auto"/>
        <w:bottom w:val="none" w:sz="0" w:space="0" w:color="auto"/>
        <w:right w:val="none" w:sz="0" w:space="0" w:color="auto"/>
      </w:divBdr>
      <w:divsChild>
        <w:div w:id="1544367956">
          <w:marLeft w:val="0"/>
          <w:marRight w:val="0"/>
          <w:marTop w:val="0"/>
          <w:marBottom w:val="0"/>
          <w:divBdr>
            <w:top w:val="none" w:sz="0" w:space="0" w:color="auto"/>
            <w:left w:val="none" w:sz="0" w:space="0" w:color="auto"/>
            <w:bottom w:val="none" w:sz="0" w:space="0" w:color="auto"/>
            <w:right w:val="none" w:sz="0" w:space="0" w:color="auto"/>
          </w:divBdr>
        </w:div>
        <w:div w:id="804396513">
          <w:marLeft w:val="0"/>
          <w:marRight w:val="0"/>
          <w:marTop w:val="0"/>
          <w:marBottom w:val="0"/>
          <w:divBdr>
            <w:top w:val="none" w:sz="0" w:space="0" w:color="auto"/>
            <w:left w:val="none" w:sz="0" w:space="0" w:color="auto"/>
            <w:bottom w:val="none" w:sz="0" w:space="0" w:color="auto"/>
            <w:right w:val="none" w:sz="0" w:space="0" w:color="auto"/>
          </w:divBdr>
        </w:div>
        <w:div w:id="1405684387">
          <w:marLeft w:val="0"/>
          <w:marRight w:val="0"/>
          <w:marTop w:val="0"/>
          <w:marBottom w:val="0"/>
          <w:divBdr>
            <w:top w:val="none" w:sz="0" w:space="0" w:color="auto"/>
            <w:left w:val="none" w:sz="0" w:space="0" w:color="auto"/>
            <w:bottom w:val="none" w:sz="0" w:space="0" w:color="auto"/>
            <w:right w:val="none" w:sz="0" w:space="0" w:color="auto"/>
          </w:divBdr>
        </w:div>
      </w:divsChild>
    </w:div>
    <w:div w:id="525022079">
      <w:bodyDiv w:val="1"/>
      <w:marLeft w:val="0"/>
      <w:marRight w:val="0"/>
      <w:marTop w:val="0"/>
      <w:marBottom w:val="0"/>
      <w:divBdr>
        <w:top w:val="none" w:sz="0" w:space="0" w:color="auto"/>
        <w:left w:val="none" w:sz="0" w:space="0" w:color="auto"/>
        <w:bottom w:val="none" w:sz="0" w:space="0" w:color="auto"/>
        <w:right w:val="none" w:sz="0" w:space="0" w:color="auto"/>
      </w:divBdr>
    </w:div>
    <w:div w:id="537206379">
      <w:bodyDiv w:val="1"/>
      <w:marLeft w:val="0"/>
      <w:marRight w:val="0"/>
      <w:marTop w:val="0"/>
      <w:marBottom w:val="0"/>
      <w:divBdr>
        <w:top w:val="none" w:sz="0" w:space="0" w:color="auto"/>
        <w:left w:val="none" w:sz="0" w:space="0" w:color="auto"/>
        <w:bottom w:val="none" w:sz="0" w:space="0" w:color="auto"/>
        <w:right w:val="none" w:sz="0" w:space="0" w:color="auto"/>
      </w:divBdr>
    </w:div>
    <w:div w:id="539628315">
      <w:bodyDiv w:val="1"/>
      <w:marLeft w:val="0"/>
      <w:marRight w:val="0"/>
      <w:marTop w:val="0"/>
      <w:marBottom w:val="0"/>
      <w:divBdr>
        <w:top w:val="none" w:sz="0" w:space="0" w:color="auto"/>
        <w:left w:val="none" w:sz="0" w:space="0" w:color="auto"/>
        <w:bottom w:val="none" w:sz="0" w:space="0" w:color="auto"/>
        <w:right w:val="none" w:sz="0" w:space="0" w:color="auto"/>
      </w:divBdr>
    </w:div>
    <w:div w:id="543449655">
      <w:bodyDiv w:val="1"/>
      <w:marLeft w:val="0"/>
      <w:marRight w:val="0"/>
      <w:marTop w:val="0"/>
      <w:marBottom w:val="0"/>
      <w:divBdr>
        <w:top w:val="none" w:sz="0" w:space="0" w:color="auto"/>
        <w:left w:val="none" w:sz="0" w:space="0" w:color="auto"/>
        <w:bottom w:val="none" w:sz="0" w:space="0" w:color="auto"/>
        <w:right w:val="none" w:sz="0" w:space="0" w:color="auto"/>
      </w:divBdr>
    </w:div>
    <w:div w:id="554394580">
      <w:bodyDiv w:val="1"/>
      <w:marLeft w:val="0"/>
      <w:marRight w:val="0"/>
      <w:marTop w:val="0"/>
      <w:marBottom w:val="0"/>
      <w:divBdr>
        <w:top w:val="none" w:sz="0" w:space="0" w:color="auto"/>
        <w:left w:val="none" w:sz="0" w:space="0" w:color="auto"/>
        <w:bottom w:val="none" w:sz="0" w:space="0" w:color="auto"/>
        <w:right w:val="none" w:sz="0" w:space="0" w:color="auto"/>
      </w:divBdr>
    </w:div>
    <w:div w:id="613024542">
      <w:bodyDiv w:val="1"/>
      <w:marLeft w:val="0"/>
      <w:marRight w:val="0"/>
      <w:marTop w:val="0"/>
      <w:marBottom w:val="0"/>
      <w:divBdr>
        <w:top w:val="none" w:sz="0" w:space="0" w:color="auto"/>
        <w:left w:val="none" w:sz="0" w:space="0" w:color="auto"/>
        <w:bottom w:val="none" w:sz="0" w:space="0" w:color="auto"/>
        <w:right w:val="none" w:sz="0" w:space="0" w:color="auto"/>
      </w:divBdr>
    </w:div>
    <w:div w:id="629243195">
      <w:bodyDiv w:val="1"/>
      <w:marLeft w:val="0"/>
      <w:marRight w:val="0"/>
      <w:marTop w:val="0"/>
      <w:marBottom w:val="0"/>
      <w:divBdr>
        <w:top w:val="none" w:sz="0" w:space="0" w:color="auto"/>
        <w:left w:val="none" w:sz="0" w:space="0" w:color="auto"/>
        <w:bottom w:val="none" w:sz="0" w:space="0" w:color="auto"/>
        <w:right w:val="none" w:sz="0" w:space="0" w:color="auto"/>
      </w:divBdr>
    </w:div>
    <w:div w:id="645011562">
      <w:bodyDiv w:val="1"/>
      <w:marLeft w:val="0"/>
      <w:marRight w:val="0"/>
      <w:marTop w:val="0"/>
      <w:marBottom w:val="0"/>
      <w:divBdr>
        <w:top w:val="none" w:sz="0" w:space="0" w:color="auto"/>
        <w:left w:val="none" w:sz="0" w:space="0" w:color="auto"/>
        <w:bottom w:val="none" w:sz="0" w:space="0" w:color="auto"/>
        <w:right w:val="none" w:sz="0" w:space="0" w:color="auto"/>
      </w:divBdr>
    </w:div>
    <w:div w:id="694773003">
      <w:bodyDiv w:val="1"/>
      <w:marLeft w:val="0"/>
      <w:marRight w:val="0"/>
      <w:marTop w:val="0"/>
      <w:marBottom w:val="0"/>
      <w:divBdr>
        <w:top w:val="none" w:sz="0" w:space="0" w:color="auto"/>
        <w:left w:val="none" w:sz="0" w:space="0" w:color="auto"/>
        <w:bottom w:val="none" w:sz="0" w:space="0" w:color="auto"/>
        <w:right w:val="none" w:sz="0" w:space="0" w:color="auto"/>
      </w:divBdr>
    </w:div>
    <w:div w:id="705178547">
      <w:bodyDiv w:val="1"/>
      <w:marLeft w:val="0"/>
      <w:marRight w:val="0"/>
      <w:marTop w:val="0"/>
      <w:marBottom w:val="0"/>
      <w:divBdr>
        <w:top w:val="none" w:sz="0" w:space="0" w:color="auto"/>
        <w:left w:val="none" w:sz="0" w:space="0" w:color="auto"/>
        <w:bottom w:val="none" w:sz="0" w:space="0" w:color="auto"/>
        <w:right w:val="none" w:sz="0" w:space="0" w:color="auto"/>
      </w:divBdr>
    </w:div>
    <w:div w:id="720249219">
      <w:bodyDiv w:val="1"/>
      <w:marLeft w:val="0"/>
      <w:marRight w:val="0"/>
      <w:marTop w:val="0"/>
      <w:marBottom w:val="0"/>
      <w:divBdr>
        <w:top w:val="none" w:sz="0" w:space="0" w:color="auto"/>
        <w:left w:val="none" w:sz="0" w:space="0" w:color="auto"/>
        <w:bottom w:val="none" w:sz="0" w:space="0" w:color="auto"/>
        <w:right w:val="none" w:sz="0" w:space="0" w:color="auto"/>
      </w:divBdr>
    </w:div>
    <w:div w:id="722869997">
      <w:bodyDiv w:val="1"/>
      <w:marLeft w:val="0"/>
      <w:marRight w:val="0"/>
      <w:marTop w:val="0"/>
      <w:marBottom w:val="0"/>
      <w:divBdr>
        <w:top w:val="none" w:sz="0" w:space="0" w:color="auto"/>
        <w:left w:val="none" w:sz="0" w:space="0" w:color="auto"/>
        <w:bottom w:val="none" w:sz="0" w:space="0" w:color="auto"/>
        <w:right w:val="none" w:sz="0" w:space="0" w:color="auto"/>
      </w:divBdr>
    </w:div>
    <w:div w:id="744767305">
      <w:bodyDiv w:val="1"/>
      <w:marLeft w:val="0"/>
      <w:marRight w:val="0"/>
      <w:marTop w:val="0"/>
      <w:marBottom w:val="0"/>
      <w:divBdr>
        <w:top w:val="none" w:sz="0" w:space="0" w:color="auto"/>
        <w:left w:val="none" w:sz="0" w:space="0" w:color="auto"/>
        <w:bottom w:val="none" w:sz="0" w:space="0" w:color="auto"/>
        <w:right w:val="none" w:sz="0" w:space="0" w:color="auto"/>
      </w:divBdr>
    </w:div>
    <w:div w:id="755636036">
      <w:bodyDiv w:val="1"/>
      <w:marLeft w:val="0"/>
      <w:marRight w:val="0"/>
      <w:marTop w:val="0"/>
      <w:marBottom w:val="0"/>
      <w:divBdr>
        <w:top w:val="none" w:sz="0" w:space="0" w:color="auto"/>
        <w:left w:val="none" w:sz="0" w:space="0" w:color="auto"/>
        <w:bottom w:val="none" w:sz="0" w:space="0" w:color="auto"/>
        <w:right w:val="none" w:sz="0" w:space="0" w:color="auto"/>
      </w:divBdr>
    </w:div>
    <w:div w:id="779955894">
      <w:bodyDiv w:val="1"/>
      <w:marLeft w:val="0"/>
      <w:marRight w:val="0"/>
      <w:marTop w:val="0"/>
      <w:marBottom w:val="0"/>
      <w:divBdr>
        <w:top w:val="none" w:sz="0" w:space="0" w:color="auto"/>
        <w:left w:val="none" w:sz="0" w:space="0" w:color="auto"/>
        <w:bottom w:val="none" w:sz="0" w:space="0" w:color="auto"/>
        <w:right w:val="none" w:sz="0" w:space="0" w:color="auto"/>
      </w:divBdr>
    </w:div>
    <w:div w:id="794328702">
      <w:bodyDiv w:val="1"/>
      <w:marLeft w:val="0"/>
      <w:marRight w:val="0"/>
      <w:marTop w:val="0"/>
      <w:marBottom w:val="0"/>
      <w:divBdr>
        <w:top w:val="none" w:sz="0" w:space="0" w:color="auto"/>
        <w:left w:val="none" w:sz="0" w:space="0" w:color="auto"/>
        <w:bottom w:val="none" w:sz="0" w:space="0" w:color="auto"/>
        <w:right w:val="none" w:sz="0" w:space="0" w:color="auto"/>
      </w:divBdr>
    </w:div>
    <w:div w:id="830025061">
      <w:bodyDiv w:val="1"/>
      <w:marLeft w:val="0"/>
      <w:marRight w:val="0"/>
      <w:marTop w:val="0"/>
      <w:marBottom w:val="0"/>
      <w:divBdr>
        <w:top w:val="none" w:sz="0" w:space="0" w:color="auto"/>
        <w:left w:val="none" w:sz="0" w:space="0" w:color="auto"/>
        <w:bottom w:val="none" w:sz="0" w:space="0" w:color="auto"/>
        <w:right w:val="none" w:sz="0" w:space="0" w:color="auto"/>
      </w:divBdr>
    </w:div>
    <w:div w:id="835148725">
      <w:bodyDiv w:val="1"/>
      <w:marLeft w:val="0"/>
      <w:marRight w:val="0"/>
      <w:marTop w:val="0"/>
      <w:marBottom w:val="0"/>
      <w:divBdr>
        <w:top w:val="none" w:sz="0" w:space="0" w:color="auto"/>
        <w:left w:val="none" w:sz="0" w:space="0" w:color="auto"/>
        <w:bottom w:val="none" w:sz="0" w:space="0" w:color="auto"/>
        <w:right w:val="none" w:sz="0" w:space="0" w:color="auto"/>
      </w:divBdr>
    </w:div>
    <w:div w:id="853229085">
      <w:bodyDiv w:val="1"/>
      <w:marLeft w:val="0"/>
      <w:marRight w:val="0"/>
      <w:marTop w:val="0"/>
      <w:marBottom w:val="0"/>
      <w:divBdr>
        <w:top w:val="none" w:sz="0" w:space="0" w:color="auto"/>
        <w:left w:val="none" w:sz="0" w:space="0" w:color="auto"/>
        <w:bottom w:val="none" w:sz="0" w:space="0" w:color="auto"/>
        <w:right w:val="none" w:sz="0" w:space="0" w:color="auto"/>
      </w:divBdr>
    </w:div>
    <w:div w:id="858738515">
      <w:bodyDiv w:val="1"/>
      <w:marLeft w:val="0"/>
      <w:marRight w:val="0"/>
      <w:marTop w:val="0"/>
      <w:marBottom w:val="0"/>
      <w:divBdr>
        <w:top w:val="none" w:sz="0" w:space="0" w:color="auto"/>
        <w:left w:val="none" w:sz="0" w:space="0" w:color="auto"/>
        <w:bottom w:val="none" w:sz="0" w:space="0" w:color="auto"/>
        <w:right w:val="none" w:sz="0" w:space="0" w:color="auto"/>
      </w:divBdr>
    </w:div>
    <w:div w:id="890380879">
      <w:bodyDiv w:val="1"/>
      <w:marLeft w:val="0"/>
      <w:marRight w:val="0"/>
      <w:marTop w:val="0"/>
      <w:marBottom w:val="0"/>
      <w:divBdr>
        <w:top w:val="none" w:sz="0" w:space="0" w:color="auto"/>
        <w:left w:val="none" w:sz="0" w:space="0" w:color="auto"/>
        <w:bottom w:val="none" w:sz="0" w:space="0" w:color="auto"/>
        <w:right w:val="none" w:sz="0" w:space="0" w:color="auto"/>
      </w:divBdr>
    </w:div>
    <w:div w:id="895244622">
      <w:bodyDiv w:val="1"/>
      <w:marLeft w:val="0"/>
      <w:marRight w:val="0"/>
      <w:marTop w:val="0"/>
      <w:marBottom w:val="0"/>
      <w:divBdr>
        <w:top w:val="none" w:sz="0" w:space="0" w:color="auto"/>
        <w:left w:val="none" w:sz="0" w:space="0" w:color="auto"/>
        <w:bottom w:val="none" w:sz="0" w:space="0" w:color="auto"/>
        <w:right w:val="none" w:sz="0" w:space="0" w:color="auto"/>
      </w:divBdr>
    </w:div>
    <w:div w:id="899756199">
      <w:bodyDiv w:val="1"/>
      <w:marLeft w:val="0"/>
      <w:marRight w:val="0"/>
      <w:marTop w:val="0"/>
      <w:marBottom w:val="0"/>
      <w:divBdr>
        <w:top w:val="none" w:sz="0" w:space="0" w:color="auto"/>
        <w:left w:val="none" w:sz="0" w:space="0" w:color="auto"/>
        <w:bottom w:val="none" w:sz="0" w:space="0" w:color="auto"/>
        <w:right w:val="none" w:sz="0" w:space="0" w:color="auto"/>
      </w:divBdr>
    </w:div>
    <w:div w:id="964847566">
      <w:bodyDiv w:val="1"/>
      <w:marLeft w:val="0"/>
      <w:marRight w:val="0"/>
      <w:marTop w:val="0"/>
      <w:marBottom w:val="0"/>
      <w:divBdr>
        <w:top w:val="none" w:sz="0" w:space="0" w:color="auto"/>
        <w:left w:val="none" w:sz="0" w:space="0" w:color="auto"/>
        <w:bottom w:val="none" w:sz="0" w:space="0" w:color="auto"/>
        <w:right w:val="none" w:sz="0" w:space="0" w:color="auto"/>
      </w:divBdr>
    </w:div>
    <w:div w:id="965622145">
      <w:bodyDiv w:val="1"/>
      <w:marLeft w:val="0"/>
      <w:marRight w:val="0"/>
      <w:marTop w:val="0"/>
      <w:marBottom w:val="0"/>
      <w:divBdr>
        <w:top w:val="none" w:sz="0" w:space="0" w:color="auto"/>
        <w:left w:val="none" w:sz="0" w:space="0" w:color="auto"/>
        <w:bottom w:val="none" w:sz="0" w:space="0" w:color="auto"/>
        <w:right w:val="none" w:sz="0" w:space="0" w:color="auto"/>
      </w:divBdr>
    </w:div>
    <w:div w:id="1018850696">
      <w:bodyDiv w:val="1"/>
      <w:marLeft w:val="0"/>
      <w:marRight w:val="0"/>
      <w:marTop w:val="0"/>
      <w:marBottom w:val="0"/>
      <w:divBdr>
        <w:top w:val="none" w:sz="0" w:space="0" w:color="auto"/>
        <w:left w:val="none" w:sz="0" w:space="0" w:color="auto"/>
        <w:bottom w:val="none" w:sz="0" w:space="0" w:color="auto"/>
        <w:right w:val="none" w:sz="0" w:space="0" w:color="auto"/>
      </w:divBdr>
    </w:div>
    <w:div w:id="1020552126">
      <w:bodyDiv w:val="1"/>
      <w:marLeft w:val="0"/>
      <w:marRight w:val="0"/>
      <w:marTop w:val="0"/>
      <w:marBottom w:val="0"/>
      <w:divBdr>
        <w:top w:val="none" w:sz="0" w:space="0" w:color="auto"/>
        <w:left w:val="none" w:sz="0" w:space="0" w:color="auto"/>
        <w:bottom w:val="none" w:sz="0" w:space="0" w:color="auto"/>
        <w:right w:val="none" w:sz="0" w:space="0" w:color="auto"/>
      </w:divBdr>
    </w:div>
    <w:div w:id="1039818856">
      <w:bodyDiv w:val="1"/>
      <w:marLeft w:val="0"/>
      <w:marRight w:val="0"/>
      <w:marTop w:val="0"/>
      <w:marBottom w:val="0"/>
      <w:divBdr>
        <w:top w:val="none" w:sz="0" w:space="0" w:color="auto"/>
        <w:left w:val="none" w:sz="0" w:space="0" w:color="auto"/>
        <w:bottom w:val="none" w:sz="0" w:space="0" w:color="auto"/>
        <w:right w:val="none" w:sz="0" w:space="0" w:color="auto"/>
      </w:divBdr>
    </w:div>
    <w:div w:id="1043142090">
      <w:bodyDiv w:val="1"/>
      <w:marLeft w:val="0"/>
      <w:marRight w:val="0"/>
      <w:marTop w:val="0"/>
      <w:marBottom w:val="0"/>
      <w:divBdr>
        <w:top w:val="none" w:sz="0" w:space="0" w:color="auto"/>
        <w:left w:val="none" w:sz="0" w:space="0" w:color="auto"/>
        <w:bottom w:val="none" w:sz="0" w:space="0" w:color="auto"/>
        <w:right w:val="none" w:sz="0" w:space="0" w:color="auto"/>
      </w:divBdr>
    </w:div>
    <w:div w:id="1090546635">
      <w:bodyDiv w:val="1"/>
      <w:marLeft w:val="0"/>
      <w:marRight w:val="0"/>
      <w:marTop w:val="0"/>
      <w:marBottom w:val="0"/>
      <w:divBdr>
        <w:top w:val="none" w:sz="0" w:space="0" w:color="auto"/>
        <w:left w:val="none" w:sz="0" w:space="0" w:color="auto"/>
        <w:bottom w:val="none" w:sz="0" w:space="0" w:color="auto"/>
        <w:right w:val="none" w:sz="0" w:space="0" w:color="auto"/>
      </w:divBdr>
    </w:div>
    <w:div w:id="1095714971">
      <w:bodyDiv w:val="1"/>
      <w:marLeft w:val="0"/>
      <w:marRight w:val="0"/>
      <w:marTop w:val="0"/>
      <w:marBottom w:val="0"/>
      <w:divBdr>
        <w:top w:val="none" w:sz="0" w:space="0" w:color="auto"/>
        <w:left w:val="none" w:sz="0" w:space="0" w:color="auto"/>
        <w:bottom w:val="none" w:sz="0" w:space="0" w:color="auto"/>
        <w:right w:val="none" w:sz="0" w:space="0" w:color="auto"/>
      </w:divBdr>
    </w:div>
    <w:div w:id="1132599824">
      <w:bodyDiv w:val="1"/>
      <w:marLeft w:val="0"/>
      <w:marRight w:val="0"/>
      <w:marTop w:val="0"/>
      <w:marBottom w:val="0"/>
      <w:divBdr>
        <w:top w:val="none" w:sz="0" w:space="0" w:color="auto"/>
        <w:left w:val="none" w:sz="0" w:space="0" w:color="auto"/>
        <w:bottom w:val="none" w:sz="0" w:space="0" w:color="auto"/>
        <w:right w:val="none" w:sz="0" w:space="0" w:color="auto"/>
      </w:divBdr>
    </w:div>
    <w:div w:id="1160921077">
      <w:bodyDiv w:val="1"/>
      <w:marLeft w:val="0"/>
      <w:marRight w:val="0"/>
      <w:marTop w:val="0"/>
      <w:marBottom w:val="0"/>
      <w:divBdr>
        <w:top w:val="none" w:sz="0" w:space="0" w:color="auto"/>
        <w:left w:val="none" w:sz="0" w:space="0" w:color="auto"/>
        <w:bottom w:val="none" w:sz="0" w:space="0" w:color="auto"/>
        <w:right w:val="none" w:sz="0" w:space="0" w:color="auto"/>
      </w:divBdr>
      <w:divsChild>
        <w:div w:id="1823230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876273">
              <w:marLeft w:val="0"/>
              <w:marRight w:val="0"/>
              <w:marTop w:val="0"/>
              <w:marBottom w:val="0"/>
              <w:divBdr>
                <w:top w:val="none" w:sz="0" w:space="0" w:color="auto"/>
                <w:left w:val="none" w:sz="0" w:space="0" w:color="auto"/>
                <w:bottom w:val="none" w:sz="0" w:space="0" w:color="auto"/>
                <w:right w:val="none" w:sz="0" w:space="0" w:color="auto"/>
              </w:divBdr>
              <w:divsChild>
                <w:div w:id="19643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7807">
      <w:bodyDiv w:val="1"/>
      <w:marLeft w:val="0"/>
      <w:marRight w:val="0"/>
      <w:marTop w:val="0"/>
      <w:marBottom w:val="0"/>
      <w:divBdr>
        <w:top w:val="none" w:sz="0" w:space="0" w:color="auto"/>
        <w:left w:val="none" w:sz="0" w:space="0" w:color="auto"/>
        <w:bottom w:val="none" w:sz="0" w:space="0" w:color="auto"/>
        <w:right w:val="none" w:sz="0" w:space="0" w:color="auto"/>
      </w:divBdr>
    </w:div>
    <w:div w:id="1216040866">
      <w:bodyDiv w:val="1"/>
      <w:marLeft w:val="0"/>
      <w:marRight w:val="0"/>
      <w:marTop w:val="0"/>
      <w:marBottom w:val="0"/>
      <w:divBdr>
        <w:top w:val="none" w:sz="0" w:space="0" w:color="auto"/>
        <w:left w:val="none" w:sz="0" w:space="0" w:color="auto"/>
        <w:bottom w:val="none" w:sz="0" w:space="0" w:color="auto"/>
        <w:right w:val="none" w:sz="0" w:space="0" w:color="auto"/>
      </w:divBdr>
    </w:div>
    <w:div w:id="1218204230">
      <w:bodyDiv w:val="1"/>
      <w:marLeft w:val="0"/>
      <w:marRight w:val="0"/>
      <w:marTop w:val="0"/>
      <w:marBottom w:val="0"/>
      <w:divBdr>
        <w:top w:val="none" w:sz="0" w:space="0" w:color="auto"/>
        <w:left w:val="none" w:sz="0" w:space="0" w:color="auto"/>
        <w:bottom w:val="none" w:sz="0" w:space="0" w:color="auto"/>
        <w:right w:val="none" w:sz="0" w:space="0" w:color="auto"/>
      </w:divBdr>
    </w:div>
    <w:div w:id="1236553156">
      <w:bodyDiv w:val="1"/>
      <w:marLeft w:val="0"/>
      <w:marRight w:val="0"/>
      <w:marTop w:val="0"/>
      <w:marBottom w:val="0"/>
      <w:divBdr>
        <w:top w:val="none" w:sz="0" w:space="0" w:color="auto"/>
        <w:left w:val="none" w:sz="0" w:space="0" w:color="auto"/>
        <w:bottom w:val="none" w:sz="0" w:space="0" w:color="auto"/>
        <w:right w:val="none" w:sz="0" w:space="0" w:color="auto"/>
      </w:divBdr>
    </w:div>
    <w:div w:id="1245384616">
      <w:bodyDiv w:val="1"/>
      <w:marLeft w:val="0"/>
      <w:marRight w:val="0"/>
      <w:marTop w:val="0"/>
      <w:marBottom w:val="0"/>
      <w:divBdr>
        <w:top w:val="none" w:sz="0" w:space="0" w:color="auto"/>
        <w:left w:val="none" w:sz="0" w:space="0" w:color="auto"/>
        <w:bottom w:val="none" w:sz="0" w:space="0" w:color="auto"/>
        <w:right w:val="none" w:sz="0" w:space="0" w:color="auto"/>
      </w:divBdr>
    </w:div>
    <w:div w:id="1297178588">
      <w:bodyDiv w:val="1"/>
      <w:marLeft w:val="0"/>
      <w:marRight w:val="0"/>
      <w:marTop w:val="0"/>
      <w:marBottom w:val="0"/>
      <w:divBdr>
        <w:top w:val="none" w:sz="0" w:space="0" w:color="auto"/>
        <w:left w:val="none" w:sz="0" w:space="0" w:color="auto"/>
        <w:bottom w:val="none" w:sz="0" w:space="0" w:color="auto"/>
        <w:right w:val="none" w:sz="0" w:space="0" w:color="auto"/>
      </w:divBdr>
    </w:div>
    <w:div w:id="1320881882">
      <w:bodyDiv w:val="1"/>
      <w:marLeft w:val="0"/>
      <w:marRight w:val="0"/>
      <w:marTop w:val="0"/>
      <w:marBottom w:val="0"/>
      <w:divBdr>
        <w:top w:val="none" w:sz="0" w:space="0" w:color="auto"/>
        <w:left w:val="none" w:sz="0" w:space="0" w:color="auto"/>
        <w:bottom w:val="none" w:sz="0" w:space="0" w:color="auto"/>
        <w:right w:val="none" w:sz="0" w:space="0" w:color="auto"/>
      </w:divBdr>
    </w:div>
    <w:div w:id="1332103256">
      <w:bodyDiv w:val="1"/>
      <w:marLeft w:val="0"/>
      <w:marRight w:val="0"/>
      <w:marTop w:val="0"/>
      <w:marBottom w:val="0"/>
      <w:divBdr>
        <w:top w:val="none" w:sz="0" w:space="0" w:color="auto"/>
        <w:left w:val="none" w:sz="0" w:space="0" w:color="auto"/>
        <w:bottom w:val="none" w:sz="0" w:space="0" w:color="auto"/>
        <w:right w:val="none" w:sz="0" w:space="0" w:color="auto"/>
      </w:divBdr>
    </w:div>
    <w:div w:id="1365252686">
      <w:bodyDiv w:val="1"/>
      <w:marLeft w:val="0"/>
      <w:marRight w:val="0"/>
      <w:marTop w:val="0"/>
      <w:marBottom w:val="0"/>
      <w:divBdr>
        <w:top w:val="none" w:sz="0" w:space="0" w:color="auto"/>
        <w:left w:val="none" w:sz="0" w:space="0" w:color="auto"/>
        <w:bottom w:val="none" w:sz="0" w:space="0" w:color="auto"/>
        <w:right w:val="none" w:sz="0" w:space="0" w:color="auto"/>
      </w:divBdr>
    </w:div>
    <w:div w:id="1422797933">
      <w:bodyDiv w:val="1"/>
      <w:marLeft w:val="0"/>
      <w:marRight w:val="0"/>
      <w:marTop w:val="0"/>
      <w:marBottom w:val="0"/>
      <w:divBdr>
        <w:top w:val="none" w:sz="0" w:space="0" w:color="auto"/>
        <w:left w:val="none" w:sz="0" w:space="0" w:color="auto"/>
        <w:bottom w:val="none" w:sz="0" w:space="0" w:color="auto"/>
        <w:right w:val="none" w:sz="0" w:space="0" w:color="auto"/>
      </w:divBdr>
    </w:div>
    <w:div w:id="1480340479">
      <w:bodyDiv w:val="1"/>
      <w:marLeft w:val="0"/>
      <w:marRight w:val="0"/>
      <w:marTop w:val="0"/>
      <w:marBottom w:val="0"/>
      <w:divBdr>
        <w:top w:val="none" w:sz="0" w:space="0" w:color="auto"/>
        <w:left w:val="none" w:sz="0" w:space="0" w:color="auto"/>
        <w:bottom w:val="none" w:sz="0" w:space="0" w:color="auto"/>
        <w:right w:val="none" w:sz="0" w:space="0" w:color="auto"/>
      </w:divBdr>
    </w:div>
    <w:div w:id="1534537335">
      <w:bodyDiv w:val="1"/>
      <w:marLeft w:val="0"/>
      <w:marRight w:val="0"/>
      <w:marTop w:val="0"/>
      <w:marBottom w:val="0"/>
      <w:divBdr>
        <w:top w:val="none" w:sz="0" w:space="0" w:color="auto"/>
        <w:left w:val="none" w:sz="0" w:space="0" w:color="auto"/>
        <w:bottom w:val="none" w:sz="0" w:space="0" w:color="auto"/>
        <w:right w:val="none" w:sz="0" w:space="0" w:color="auto"/>
      </w:divBdr>
    </w:div>
    <w:div w:id="1534999864">
      <w:bodyDiv w:val="1"/>
      <w:marLeft w:val="0"/>
      <w:marRight w:val="0"/>
      <w:marTop w:val="0"/>
      <w:marBottom w:val="0"/>
      <w:divBdr>
        <w:top w:val="none" w:sz="0" w:space="0" w:color="auto"/>
        <w:left w:val="none" w:sz="0" w:space="0" w:color="auto"/>
        <w:bottom w:val="none" w:sz="0" w:space="0" w:color="auto"/>
        <w:right w:val="none" w:sz="0" w:space="0" w:color="auto"/>
      </w:divBdr>
    </w:div>
    <w:div w:id="1563712507">
      <w:bodyDiv w:val="1"/>
      <w:marLeft w:val="0"/>
      <w:marRight w:val="0"/>
      <w:marTop w:val="0"/>
      <w:marBottom w:val="0"/>
      <w:divBdr>
        <w:top w:val="none" w:sz="0" w:space="0" w:color="auto"/>
        <w:left w:val="none" w:sz="0" w:space="0" w:color="auto"/>
        <w:bottom w:val="none" w:sz="0" w:space="0" w:color="auto"/>
        <w:right w:val="none" w:sz="0" w:space="0" w:color="auto"/>
      </w:divBdr>
    </w:div>
    <w:div w:id="1575779722">
      <w:bodyDiv w:val="1"/>
      <w:marLeft w:val="0"/>
      <w:marRight w:val="0"/>
      <w:marTop w:val="0"/>
      <w:marBottom w:val="0"/>
      <w:divBdr>
        <w:top w:val="none" w:sz="0" w:space="0" w:color="auto"/>
        <w:left w:val="none" w:sz="0" w:space="0" w:color="auto"/>
        <w:bottom w:val="none" w:sz="0" w:space="0" w:color="auto"/>
        <w:right w:val="none" w:sz="0" w:space="0" w:color="auto"/>
      </w:divBdr>
    </w:div>
    <w:div w:id="1629235262">
      <w:bodyDiv w:val="1"/>
      <w:marLeft w:val="0"/>
      <w:marRight w:val="0"/>
      <w:marTop w:val="0"/>
      <w:marBottom w:val="0"/>
      <w:divBdr>
        <w:top w:val="none" w:sz="0" w:space="0" w:color="auto"/>
        <w:left w:val="none" w:sz="0" w:space="0" w:color="auto"/>
        <w:bottom w:val="none" w:sz="0" w:space="0" w:color="auto"/>
        <w:right w:val="none" w:sz="0" w:space="0" w:color="auto"/>
      </w:divBdr>
    </w:div>
    <w:div w:id="1799907316">
      <w:bodyDiv w:val="1"/>
      <w:marLeft w:val="0"/>
      <w:marRight w:val="0"/>
      <w:marTop w:val="0"/>
      <w:marBottom w:val="0"/>
      <w:divBdr>
        <w:top w:val="none" w:sz="0" w:space="0" w:color="auto"/>
        <w:left w:val="none" w:sz="0" w:space="0" w:color="auto"/>
        <w:bottom w:val="none" w:sz="0" w:space="0" w:color="auto"/>
        <w:right w:val="none" w:sz="0" w:space="0" w:color="auto"/>
      </w:divBdr>
    </w:div>
    <w:div w:id="1802116027">
      <w:bodyDiv w:val="1"/>
      <w:marLeft w:val="0"/>
      <w:marRight w:val="0"/>
      <w:marTop w:val="0"/>
      <w:marBottom w:val="0"/>
      <w:divBdr>
        <w:top w:val="none" w:sz="0" w:space="0" w:color="auto"/>
        <w:left w:val="none" w:sz="0" w:space="0" w:color="auto"/>
        <w:bottom w:val="none" w:sz="0" w:space="0" w:color="auto"/>
        <w:right w:val="none" w:sz="0" w:space="0" w:color="auto"/>
      </w:divBdr>
    </w:div>
    <w:div w:id="1855605728">
      <w:bodyDiv w:val="1"/>
      <w:marLeft w:val="0"/>
      <w:marRight w:val="0"/>
      <w:marTop w:val="0"/>
      <w:marBottom w:val="0"/>
      <w:divBdr>
        <w:top w:val="none" w:sz="0" w:space="0" w:color="auto"/>
        <w:left w:val="none" w:sz="0" w:space="0" w:color="auto"/>
        <w:bottom w:val="none" w:sz="0" w:space="0" w:color="auto"/>
        <w:right w:val="none" w:sz="0" w:space="0" w:color="auto"/>
      </w:divBdr>
    </w:div>
    <w:div w:id="1860656174">
      <w:bodyDiv w:val="1"/>
      <w:marLeft w:val="0"/>
      <w:marRight w:val="0"/>
      <w:marTop w:val="0"/>
      <w:marBottom w:val="0"/>
      <w:divBdr>
        <w:top w:val="none" w:sz="0" w:space="0" w:color="auto"/>
        <w:left w:val="none" w:sz="0" w:space="0" w:color="auto"/>
        <w:bottom w:val="none" w:sz="0" w:space="0" w:color="auto"/>
        <w:right w:val="none" w:sz="0" w:space="0" w:color="auto"/>
      </w:divBdr>
    </w:div>
    <w:div w:id="1875999940">
      <w:bodyDiv w:val="1"/>
      <w:marLeft w:val="0"/>
      <w:marRight w:val="0"/>
      <w:marTop w:val="0"/>
      <w:marBottom w:val="0"/>
      <w:divBdr>
        <w:top w:val="none" w:sz="0" w:space="0" w:color="auto"/>
        <w:left w:val="none" w:sz="0" w:space="0" w:color="auto"/>
        <w:bottom w:val="none" w:sz="0" w:space="0" w:color="auto"/>
        <w:right w:val="none" w:sz="0" w:space="0" w:color="auto"/>
      </w:divBdr>
    </w:div>
    <w:div w:id="1892232496">
      <w:bodyDiv w:val="1"/>
      <w:marLeft w:val="0"/>
      <w:marRight w:val="0"/>
      <w:marTop w:val="0"/>
      <w:marBottom w:val="0"/>
      <w:divBdr>
        <w:top w:val="none" w:sz="0" w:space="0" w:color="auto"/>
        <w:left w:val="none" w:sz="0" w:space="0" w:color="auto"/>
        <w:bottom w:val="none" w:sz="0" w:space="0" w:color="auto"/>
        <w:right w:val="none" w:sz="0" w:space="0" w:color="auto"/>
      </w:divBdr>
    </w:div>
    <w:div w:id="1907566415">
      <w:bodyDiv w:val="1"/>
      <w:marLeft w:val="0"/>
      <w:marRight w:val="0"/>
      <w:marTop w:val="0"/>
      <w:marBottom w:val="0"/>
      <w:divBdr>
        <w:top w:val="none" w:sz="0" w:space="0" w:color="auto"/>
        <w:left w:val="none" w:sz="0" w:space="0" w:color="auto"/>
        <w:bottom w:val="none" w:sz="0" w:space="0" w:color="auto"/>
        <w:right w:val="none" w:sz="0" w:space="0" w:color="auto"/>
      </w:divBdr>
    </w:div>
    <w:div w:id="1916284743">
      <w:bodyDiv w:val="1"/>
      <w:marLeft w:val="0"/>
      <w:marRight w:val="0"/>
      <w:marTop w:val="0"/>
      <w:marBottom w:val="0"/>
      <w:divBdr>
        <w:top w:val="none" w:sz="0" w:space="0" w:color="auto"/>
        <w:left w:val="none" w:sz="0" w:space="0" w:color="auto"/>
        <w:bottom w:val="none" w:sz="0" w:space="0" w:color="auto"/>
        <w:right w:val="none" w:sz="0" w:space="0" w:color="auto"/>
      </w:divBdr>
      <w:divsChild>
        <w:div w:id="1110007833">
          <w:marLeft w:val="0"/>
          <w:marRight w:val="0"/>
          <w:marTop w:val="0"/>
          <w:marBottom w:val="0"/>
          <w:divBdr>
            <w:top w:val="none" w:sz="0" w:space="0" w:color="auto"/>
            <w:left w:val="none" w:sz="0" w:space="0" w:color="auto"/>
            <w:bottom w:val="none" w:sz="0" w:space="0" w:color="auto"/>
            <w:right w:val="none" w:sz="0" w:space="0" w:color="auto"/>
          </w:divBdr>
        </w:div>
        <w:div w:id="1380282838">
          <w:marLeft w:val="0"/>
          <w:marRight w:val="0"/>
          <w:marTop w:val="0"/>
          <w:marBottom w:val="0"/>
          <w:divBdr>
            <w:top w:val="none" w:sz="0" w:space="0" w:color="auto"/>
            <w:left w:val="none" w:sz="0" w:space="0" w:color="auto"/>
            <w:bottom w:val="none" w:sz="0" w:space="0" w:color="auto"/>
            <w:right w:val="none" w:sz="0" w:space="0" w:color="auto"/>
          </w:divBdr>
        </w:div>
        <w:div w:id="902639013">
          <w:marLeft w:val="0"/>
          <w:marRight w:val="0"/>
          <w:marTop w:val="0"/>
          <w:marBottom w:val="0"/>
          <w:divBdr>
            <w:top w:val="none" w:sz="0" w:space="0" w:color="auto"/>
            <w:left w:val="none" w:sz="0" w:space="0" w:color="auto"/>
            <w:bottom w:val="none" w:sz="0" w:space="0" w:color="auto"/>
            <w:right w:val="none" w:sz="0" w:space="0" w:color="auto"/>
          </w:divBdr>
        </w:div>
        <w:div w:id="658921514">
          <w:marLeft w:val="0"/>
          <w:marRight w:val="0"/>
          <w:marTop w:val="0"/>
          <w:marBottom w:val="0"/>
          <w:divBdr>
            <w:top w:val="none" w:sz="0" w:space="0" w:color="auto"/>
            <w:left w:val="none" w:sz="0" w:space="0" w:color="auto"/>
            <w:bottom w:val="none" w:sz="0" w:space="0" w:color="auto"/>
            <w:right w:val="none" w:sz="0" w:space="0" w:color="auto"/>
          </w:divBdr>
        </w:div>
      </w:divsChild>
    </w:div>
    <w:div w:id="1920749744">
      <w:bodyDiv w:val="1"/>
      <w:marLeft w:val="0"/>
      <w:marRight w:val="0"/>
      <w:marTop w:val="0"/>
      <w:marBottom w:val="0"/>
      <w:divBdr>
        <w:top w:val="none" w:sz="0" w:space="0" w:color="auto"/>
        <w:left w:val="none" w:sz="0" w:space="0" w:color="auto"/>
        <w:bottom w:val="none" w:sz="0" w:space="0" w:color="auto"/>
        <w:right w:val="none" w:sz="0" w:space="0" w:color="auto"/>
      </w:divBdr>
    </w:div>
    <w:div w:id="1925140368">
      <w:bodyDiv w:val="1"/>
      <w:marLeft w:val="0"/>
      <w:marRight w:val="0"/>
      <w:marTop w:val="0"/>
      <w:marBottom w:val="0"/>
      <w:divBdr>
        <w:top w:val="none" w:sz="0" w:space="0" w:color="auto"/>
        <w:left w:val="none" w:sz="0" w:space="0" w:color="auto"/>
        <w:bottom w:val="none" w:sz="0" w:space="0" w:color="auto"/>
        <w:right w:val="none" w:sz="0" w:space="0" w:color="auto"/>
      </w:divBdr>
    </w:div>
    <w:div w:id="1931770458">
      <w:bodyDiv w:val="1"/>
      <w:marLeft w:val="0"/>
      <w:marRight w:val="0"/>
      <w:marTop w:val="0"/>
      <w:marBottom w:val="0"/>
      <w:divBdr>
        <w:top w:val="none" w:sz="0" w:space="0" w:color="auto"/>
        <w:left w:val="none" w:sz="0" w:space="0" w:color="auto"/>
        <w:bottom w:val="none" w:sz="0" w:space="0" w:color="auto"/>
        <w:right w:val="none" w:sz="0" w:space="0" w:color="auto"/>
      </w:divBdr>
    </w:div>
    <w:div w:id="1962804715">
      <w:bodyDiv w:val="1"/>
      <w:marLeft w:val="0"/>
      <w:marRight w:val="0"/>
      <w:marTop w:val="0"/>
      <w:marBottom w:val="0"/>
      <w:divBdr>
        <w:top w:val="none" w:sz="0" w:space="0" w:color="auto"/>
        <w:left w:val="none" w:sz="0" w:space="0" w:color="auto"/>
        <w:bottom w:val="none" w:sz="0" w:space="0" w:color="auto"/>
        <w:right w:val="none" w:sz="0" w:space="0" w:color="auto"/>
      </w:divBdr>
    </w:div>
    <w:div w:id="1990205621">
      <w:bodyDiv w:val="1"/>
      <w:marLeft w:val="0"/>
      <w:marRight w:val="0"/>
      <w:marTop w:val="0"/>
      <w:marBottom w:val="0"/>
      <w:divBdr>
        <w:top w:val="none" w:sz="0" w:space="0" w:color="auto"/>
        <w:left w:val="none" w:sz="0" w:space="0" w:color="auto"/>
        <w:bottom w:val="none" w:sz="0" w:space="0" w:color="auto"/>
        <w:right w:val="none" w:sz="0" w:space="0" w:color="auto"/>
      </w:divBdr>
    </w:div>
    <w:div w:id="1991127166">
      <w:bodyDiv w:val="1"/>
      <w:marLeft w:val="0"/>
      <w:marRight w:val="0"/>
      <w:marTop w:val="0"/>
      <w:marBottom w:val="0"/>
      <w:divBdr>
        <w:top w:val="none" w:sz="0" w:space="0" w:color="auto"/>
        <w:left w:val="none" w:sz="0" w:space="0" w:color="auto"/>
        <w:bottom w:val="none" w:sz="0" w:space="0" w:color="auto"/>
        <w:right w:val="none" w:sz="0" w:space="0" w:color="auto"/>
      </w:divBdr>
    </w:div>
    <w:div w:id="2009821803">
      <w:bodyDiv w:val="1"/>
      <w:marLeft w:val="0"/>
      <w:marRight w:val="0"/>
      <w:marTop w:val="0"/>
      <w:marBottom w:val="0"/>
      <w:divBdr>
        <w:top w:val="none" w:sz="0" w:space="0" w:color="auto"/>
        <w:left w:val="none" w:sz="0" w:space="0" w:color="auto"/>
        <w:bottom w:val="none" w:sz="0" w:space="0" w:color="auto"/>
        <w:right w:val="none" w:sz="0" w:space="0" w:color="auto"/>
      </w:divBdr>
    </w:div>
    <w:div w:id="2011786415">
      <w:bodyDiv w:val="1"/>
      <w:marLeft w:val="0"/>
      <w:marRight w:val="0"/>
      <w:marTop w:val="0"/>
      <w:marBottom w:val="0"/>
      <w:divBdr>
        <w:top w:val="none" w:sz="0" w:space="0" w:color="auto"/>
        <w:left w:val="none" w:sz="0" w:space="0" w:color="auto"/>
        <w:bottom w:val="none" w:sz="0" w:space="0" w:color="auto"/>
        <w:right w:val="none" w:sz="0" w:space="0" w:color="auto"/>
      </w:divBdr>
    </w:div>
    <w:div w:id="2028827495">
      <w:bodyDiv w:val="1"/>
      <w:marLeft w:val="0"/>
      <w:marRight w:val="0"/>
      <w:marTop w:val="0"/>
      <w:marBottom w:val="0"/>
      <w:divBdr>
        <w:top w:val="none" w:sz="0" w:space="0" w:color="auto"/>
        <w:left w:val="none" w:sz="0" w:space="0" w:color="auto"/>
        <w:bottom w:val="none" w:sz="0" w:space="0" w:color="auto"/>
        <w:right w:val="none" w:sz="0" w:space="0" w:color="auto"/>
      </w:divBdr>
    </w:div>
    <w:div w:id="2037929173">
      <w:bodyDiv w:val="1"/>
      <w:marLeft w:val="0"/>
      <w:marRight w:val="0"/>
      <w:marTop w:val="0"/>
      <w:marBottom w:val="0"/>
      <w:divBdr>
        <w:top w:val="none" w:sz="0" w:space="0" w:color="auto"/>
        <w:left w:val="none" w:sz="0" w:space="0" w:color="auto"/>
        <w:bottom w:val="none" w:sz="0" w:space="0" w:color="auto"/>
        <w:right w:val="none" w:sz="0" w:space="0" w:color="auto"/>
      </w:divBdr>
    </w:div>
    <w:div w:id="2041514875">
      <w:bodyDiv w:val="1"/>
      <w:marLeft w:val="0"/>
      <w:marRight w:val="0"/>
      <w:marTop w:val="0"/>
      <w:marBottom w:val="0"/>
      <w:divBdr>
        <w:top w:val="none" w:sz="0" w:space="0" w:color="auto"/>
        <w:left w:val="none" w:sz="0" w:space="0" w:color="auto"/>
        <w:bottom w:val="none" w:sz="0" w:space="0" w:color="auto"/>
        <w:right w:val="none" w:sz="0" w:space="0" w:color="auto"/>
      </w:divBdr>
    </w:div>
    <w:div w:id="2043480624">
      <w:bodyDiv w:val="1"/>
      <w:marLeft w:val="0"/>
      <w:marRight w:val="0"/>
      <w:marTop w:val="0"/>
      <w:marBottom w:val="0"/>
      <w:divBdr>
        <w:top w:val="none" w:sz="0" w:space="0" w:color="auto"/>
        <w:left w:val="none" w:sz="0" w:space="0" w:color="auto"/>
        <w:bottom w:val="none" w:sz="0" w:space="0" w:color="auto"/>
        <w:right w:val="none" w:sz="0" w:space="0" w:color="auto"/>
      </w:divBdr>
    </w:div>
    <w:div w:id="2049455409">
      <w:bodyDiv w:val="1"/>
      <w:marLeft w:val="0"/>
      <w:marRight w:val="0"/>
      <w:marTop w:val="0"/>
      <w:marBottom w:val="0"/>
      <w:divBdr>
        <w:top w:val="none" w:sz="0" w:space="0" w:color="auto"/>
        <w:left w:val="none" w:sz="0" w:space="0" w:color="auto"/>
        <w:bottom w:val="none" w:sz="0" w:space="0" w:color="auto"/>
        <w:right w:val="none" w:sz="0" w:space="0" w:color="auto"/>
      </w:divBdr>
    </w:div>
    <w:div w:id="2066876288">
      <w:bodyDiv w:val="1"/>
      <w:marLeft w:val="0"/>
      <w:marRight w:val="0"/>
      <w:marTop w:val="0"/>
      <w:marBottom w:val="0"/>
      <w:divBdr>
        <w:top w:val="none" w:sz="0" w:space="0" w:color="auto"/>
        <w:left w:val="none" w:sz="0" w:space="0" w:color="auto"/>
        <w:bottom w:val="none" w:sz="0" w:space="0" w:color="auto"/>
        <w:right w:val="none" w:sz="0" w:space="0" w:color="auto"/>
      </w:divBdr>
    </w:div>
    <w:div w:id="212529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049B8-2F9D-407E-A1B6-BA7F085A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Heard</dc:creator>
  <cp:keywords/>
  <dc:description/>
  <cp:lastModifiedBy>Linda Heard</cp:lastModifiedBy>
  <cp:revision>7</cp:revision>
  <cp:lastPrinted>2023-11-16T19:35:00Z</cp:lastPrinted>
  <dcterms:created xsi:type="dcterms:W3CDTF">2023-11-17T20:43:00Z</dcterms:created>
  <dcterms:modified xsi:type="dcterms:W3CDTF">2023-11-17T20:50:00Z</dcterms:modified>
</cp:coreProperties>
</file>