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9EE5A" w14:textId="488EB99D" w:rsidR="00C06CF6" w:rsidRPr="006A2060" w:rsidRDefault="00C06CF6" w:rsidP="00C06CF6">
      <w:pPr>
        <w:ind w:left="5040" w:firstLine="720"/>
        <w:rPr>
          <w:rFonts w:ascii="Arial" w:hAnsi="Arial" w:cs="Arial"/>
          <w:sz w:val="24"/>
          <w:szCs w:val="24"/>
        </w:rPr>
      </w:pPr>
      <w:r w:rsidRPr="006A2060">
        <w:rPr>
          <w:rFonts w:ascii="Arial" w:hAnsi="Arial" w:cs="Arial"/>
          <w:sz w:val="24"/>
          <w:szCs w:val="24"/>
        </w:rPr>
        <w:t xml:space="preserve">March </w:t>
      </w:r>
      <w:r>
        <w:rPr>
          <w:rFonts w:ascii="Arial" w:hAnsi="Arial" w:cs="Arial"/>
          <w:sz w:val="24"/>
          <w:szCs w:val="24"/>
        </w:rPr>
        <w:t>31</w:t>
      </w:r>
      <w:r w:rsidRPr="006A2060">
        <w:rPr>
          <w:rFonts w:ascii="Arial" w:hAnsi="Arial" w:cs="Arial"/>
          <w:sz w:val="24"/>
          <w:szCs w:val="24"/>
        </w:rPr>
        <w:t>, 2025</w:t>
      </w:r>
    </w:p>
    <w:p w14:paraId="7099A75E" w14:textId="4A8D2CD5" w:rsidR="00C06CF6" w:rsidRPr="006A2060" w:rsidRDefault="00C06CF6" w:rsidP="00C06CF6">
      <w:pPr>
        <w:spacing w:after="0"/>
        <w:rPr>
          <w:rFonts w:ascii="Arial" w:hAnsi="Arial" w:cs="Arial"/>
          <w:sz w:val="24"/>
          <w:szCs w:val="24"/>
        </w:rPr>
      </w:pPr>
      <w:r w:rsidRPr="006A2060">
        <w:rPr>
          <w:rFonts w:ascii="Arial" w:hAnsi="Arial" w:cs="Arial"/>
          <w:sz w:val="24"/>
          <w:szCs w:val="24"/>
        </w:rPr>
        <w:t xml:space="preserve">  The Grundy County Board of Supervisors met in a regular session in the Supervisor</w:t>
      </w:r>
      <w:r w:rsidR="00DA3E7D">
        <w:rPr>
          <w:rFonts w:ascii="Arial" w:hAnsi="Arial" w:cs="Arial"/>
          <w:sz w:val="24"/>
          <w:szCs w:val="24"/>
        </w:rPr>
        <w:t>s</w:t>
      </w:r>
      <w:r w:rsidRPr="006A2060">
        <w:rPr>
          <w:rFonts w:ascii="Arial" w:hAnsi="Arial" w:cs="Arial"/>
          <w:sz w:val="24"/>
          <w:szCs w:val="24"/>
        </w:rPr>
        <w:t xml:space="preserve"> room at the Grundy County Courthouse on March </w:t>
      </w:r>
      <w:r>
        <w:rPr>
          <w:rFonts w:ascii="Arial" w:hAnsi="Arial" w:cs="Arial"/>
          <w:sz w:val="24"/>
          <w:szCs w:val="24"/>
        </w:rPr>
        <w:t>31</w:t>
      </w:r>
      <w:r w:rsidRPr="006A2060">
        <w:rPr>
          <w:rFonts w:ascii="Arial" w:hAnsi="Arial" w:cs="Arial"/>
          <w:sz w:val="24"/>
          <w:szCs w:val="24"/>
        </w:rPr>
        <w:t>, 2025, at 9:00 a.m.  Chairperson Nederhoff called the meeting to order with the following members present: Vandehaar, Pabst, Kopsa, and Schildroth.</w:t>
      </w:r>
    </w:p>
    <w:p w14:paraId="51B6B596" w14:textId="77777777" w:rsidR="00C06CF6" w:rsidRPr="006A2060" w:rsidRDefault="00C06CF6" w:rsidP="00C06CF6">
      <w:pPr>
        <w:spacing w:after="0"/>
        <w:rPr>
          <w:rFonts w:ascii="Arial" w:hAnsi="Arial" w:cs="Arial"/>
          <w:sz w:val="24"/>
          <w:szCs w:val="24"/>
        </w:rPr>
      </w:pPr>
      <w:r w:rsidRPr="006A2060">
        <w:rPr>
          <w:rFonts w:ascii="Arial" w:hAnsi="Arial" w:cs="Arial"/>
          <w:sz w:val="24"/>
          <w:szCs w:val="24"/>
        </w:rPr>
        <w:t xml:space="preserve">  The Board opened the meeting by reciting the Pledge of Allegiance. </w:t>
      </w:r>
    </w:p>
    <w:p w14:paraId="69611FD2" w14:textId="77777777" w:rsidR="00C06CF6" w:rsidRPr="006A2060" w:rsidRDefault="00C06CF6" w:rsidP="00C06CF6">
      <w:pPr>
        <w:spacing w:after="0"/>
        <w:rPr>
          <w:rFonts w:ascii="Arial" w:hAnsi="Arial" w:cs="Arial"/>
          <w:sz w:val="24"/>
          <w:szCs w:val="24"/>
        </w:rPr>
      </w:pPr>
      <w:r w:rsidRPr="006A2060">
        <w:rPr>
          <w:rFonts w:ascii="Arial" w:hAnsi="Arial" w:cs="Arial"/>
          <w:sz w:val="24"/>
          <w:szCs w:val="24"/>
        </w:rPr>
        <w:t xml:space="preserve">  Motion was made by Vandehaar and seconded by Pabst to approve the minutes of the previous meeting. Carried unanimously. </w:t>
      </w:r>
    </w:p>
    <w:p w14:paraId="251AB580" w14:textId="77777777" w:rsidR="00C06CF6" w:rsidRDefault="00C06CF6" w:rsidP="00C06CF6">
      <w:pPr>
        <w:spacing w:after="0"/>
        <w:rPr>
          <w:rFonts w:ascii="Arial" w:hAnsi="Arial" w:cs="Arial"/>
          <w:sz w:val="24"/>
          <w:szCs w:val="24"/>
        </w:rPr>
      </w:pPr>
      <w:r w:rsidRPr="006A2060">
        <w:rPr>
          <w:rFonts w:ascii="Arial" w:hAnsi="Arial" w:cs="Arial"/>
          <w:sz w:val="24"/>
          <w:szCs w:val="24"/>
        </w:rPr>
        <w:t xml:space="preserve">  Jeff Skalberg, County Engineer, discussed department matters.</w:t>
      </w:r>
    </w:p>
    <w:p w14:paraId="1EA23D86" w14:textId="77777777" w:rsidR="00C06CF6" w:rsidRDefault="00C06CF6" w:rsidP="00C06CF6">
      <w:pPr>
        <w:spacing w:after="0"/>
        <w:rPr>
          <w:rFonts w:ascii="Arial" w:hAnsi="Arial" w:cs="Arial"/>
          <w:sz w:val="24"/>
          <w:szCs w:val="24"/>
        </w:rPr>
      </w:pPr>
      <w:r>
        <w:rPr>
          <w:rFonts w:ascii="Arial" w:hAnsi="Arial" w:cs="Arial"/>
          <w:sz w:val="24"/>
          <w:szCs w:val="24"/>
        </w:rPr>
        <w:t xml:space="preserve">  Motion was made by Schildroth and seconded by Kopsa to approve the Collective Bargaining Agreement Between Grundy County Secondary Road Department and Public Professional and Maintenance Employees, Local No. 2003 for July 1, 2025, to June 30, 2026, and authorize Chairperson to sign the same.  Carried unanimously. </w:t>
      </w:r>
    </w:p>
    <w:p w14:paraId="06ED6907" w14:textId="1718D163" w:rsidR="00C06CF6" w:rsidRDefault="00C06CF6" w:rsidP="00C06CF6">
      <w:pPr>
        <w:spacing w:after="0"/>
        <w:rPr>
          <w:rFonts w:ascii="Arial" w:hAnsi="Arial" w:cs="Arial"/>
          <w:sz w:val="24"/>
          <w:szCs w:val="24"/>
        </w:rPr>
      </w:pPr>
      <w:r>
        <w:rPr>
          <w:rFonts w:ascii="Arial" w:hAnsi="Arial" w:cs="Arial"/>
          <w:sz w:val="24"/>
          <w:szCs w:val="24"/>
        </w:rPr>
        <w:t xml:space="preserve">  Motion was made by Pabst and seconded by Schildroth to approve th</w:t>
      </w:r>
      <w:r w:rsidR="008F46E6">
        <w:rPr>
          <w:rFonts w:ascii="Arial" w:hAnsi="Arial" w:cs="Arial"/>
          <w:sz w:val="24"/>
          <w:szCs w:val="24"/>
        </w:rPr>
        <w:t>e</w:t>
      </w:r>
      <w:r>
        <w:rPr>
          <w:rFonts w:ascii="Arial" w:hAnsi="Arial" w:cs="Arial"/>
          <w:sz w:val="24"/>
          <w:szCs w:val="24"/>
        </w:rPr>
        <w:t xml:space="preserve"> 2025 Low Calcium Chloride Dust Control Quotes. Carried unanimously. </w:t>
      </w:r>
    </w:p>
    <w:p w14:paraId="5BF173D1" w14:textId="77777777" w:rsidR="00C06CF6" w:rsidRDefault="00C06CF6" w:rsidP="00C06CF6">
      <w:pPr>
        <w:spacing w:after="0"/>
        <w:rPr>
          <w:rFonts w:ascii="Arial" w:hAnsi="Arial" w:cs="Arial"/>
          <w:sz w:val="24"/>
          <w:szCs w:val="24"/>
        </w:rPr>
      </w:pPr>
      <w:r>
        <w:rPr>
          <w:rFonts w:ascii="Arial" w:hAnsi="Arial" w:cs="Arial"/>
          <w:sz w:val="24"/>
          <w:szCs w:val="24"/>
        </w:rPr>
        <w:t xml:space="preserve">  Motion was made by Kopsa and seconded by Vandehaar to approve Contract FM-CO38(140)—55-38 – Annual FM Rock Haul.  Carried unanimously. </w:t>
      </w:r>
    </w:p>
    <w:p w14:paraId="08F40EF1" w14:textId="77777777" w:rsidR="00C06CF6" w:rsidRDefault="00C06CF6" w:rsidP="00C06CF6">
      <w:pPr>
        <w:spacing w:after="0"/>
        <w:rPr>
          <w:rFonts w:ascii="Arial" w:hAnsi="Arial" w:cs="Arial"/>
          <w:sz w:val="24"/>
          <w:szCs w:val="24"/>
        </w:rPr>
      </w:pPr>
      <w:r>
        <w:rPr>
          <w:rFonts w:ascii="Arial" w:hAnsi="Arial" w:cs="Arial"/>
          <w:sz w:val="24"/>
          <w:szCs w:val="24"/>
        </w:rPr>
        <w:t xml:space="preserve">  Motion was made by Kopsa and seconded by Pabst to approve Contract LFM-C038(Hawk-290</w:t>
      </w:r>
      <w:r w:rsidRPr="00C06CF6">
        <w:rPr>
          <w:rFonts w:ascii="Arial" w:hAnsi="Arial" w:cs="Arial"/>
          <w:sz w:val="24"/>
          <w:szCs w:val="24"/>
          <w:vertAlign w:val="superscript"/>
        </w:rPr>
        <w:t>th</w:t>
      </w:r>
      <w:r>
        <w:rPr>
          <w:rFonts w:ascii="Arial" w:hAnsi="Arial" w:cs="Arial"/>
          <w:sz w:val="24"/>
          <w:szCs w:val="24"/>
        </w:rPr>
        <w:t>)—7X038 – Hawk &amp; 290</w:t>
      </w:r>
      <w:r w:rsidRPr="00C06CF6">
        <w:rPr>
          <w:rFonts w:ascii="Arial" w:hAnsi="Arial" w:cs="Arial"/>
          <w:sz w:val="24"/>
          <w:szCs w:val="24"/>
          <w:vertAlign w:val="superscript"/>
        </w:rPr>
        <w:t>th</w:t>
      </w:r>
      <w:r>
        <w:rPr>
          <w:rFonts w:ascii="Arial" w:hAnsi="Arial" w:cs="Arial"/>
          <w:sz w:val="24"/>
          <w:szCs w:val="24"/>
        </w:rPr>
        <w:t xml:space="preserve"> HMA Overlay.  Carried unanimously. </w:t>
      </w:r>
    </w:p>
    <w:p w14:paraId="6B80EEC8" w14:textId="77777777" w:rsidR="00C06CF6" w:rsidRDefault="00C06CF6" w:rsidP="00C06CF6">
      <w:pPr>
        <w:spacing w:after="0"/>
        <w:rPr>
          <w:rFonts w:ascii="Arial" w:hAnsi="Arial" w:cs="Arial"/>
          <w:sz w:val="24"/>
          <w:szCs w:val="24"/>
        </w:rPr>
      </w:pPr>
      <w:r>
        <w:rPr>
          <w:rFonts w:ascii="Arial" w:hAnsi="Arial" w:cs="Arial"/>
          <w:sz w:val="24"/>
          <w:szCs w:val="24"/>
        </w:rPr>
        <w:t xml:space="preserve">  Travis Case, County Recorder, discussed department matters. </w:t>
      </w:r>
    </w:p>
    <w:p w14:paraId="23EFBF73" w14:textId="4E592535" w:rsidR="00C06CF6" w:rsidRDefault="00C06CF6" w:rsidP="001375F7">
      <w:pPr>
        <w:spacing w:after="0"/>
        <w:rPr>
          <w:rFonts w:ascii="Arial" w:hAnsi="Arial" w:cs="Arial"/>
          <w:sz w:val="24"/>
          <w:szCs w:val="24"/>
        </w:rPr>
      </w:pPr>
      <w:r>
        <w:rPr>
          <w:rFonts w:ascii="Arial" w:hAnsi="Arial" w:cs="Arial"/>
          <w:sz w:val="24"/>
          <w:szCs w:val="24"/>
        </w:rPr>
        <w:t xml:space="preserve">  Motion was made by Vandehaar and seconded by Pabst to adopt Resolution #41-2024/2025 </w:t>
      </w:r>
      <w:r w:rsidRPr="00C06CF6">
        <w:rPr>
          <w:rFonts w:ascii="Arial" w:hAnsi="Arial" w:cs="Arial"/>
          <w:sz w:val="24"/>
          <w:szCs w:val="24"/>
        </w:rPr>
        <w:t xml:space="preserve">WHEREAS, on January 2, 2015, in Resolution #17-2014/2015, the Board of Supervisors approved the County Recorder be allowed one first deputy and one part-time deputy within his office. BE IT FURTHER RESOLVED </w:t>
      </w:r>
      <w:r w:rsidR="0030052C" w:rsidRPr="00C06CF6">
        <w:rPr>
          <w:rFonts w:ascii="Arial" w:hAnsi="Arial" w:cs="Arial"/>
          <w:sz w:val="24"/>
          <w:szCs w:val="24"/>
        </w:rPr>
        <w:t>THAT</w:t>
      </w:r>
      <w:r w:rsidRPr="00C06CF6">
        <w:rPr>
          <w:rFonts w:ascii="Arial" w:hAnsi="Arial" w:cs="Arial"/>
          <w:sz w:val="24"/>
          <w:szCs w:val="24"/>
        </w:rPr>
        <w:t xml:space="preserve"> the Board of Supervisors approve the appointments of the following staff members to fill the authorized positions:</w:t>
      </w:r>
      <w:r>
        <w:rPr>
          <w:rFonts w:ascii="Arial" w:hAnsi="Arial" w:cs="Arial"/>
          <w:sz w:val="24"/>
          <w:szCs w:val="24"/>
        </w:rPr>
        <w:t xml:space="preserve"> </w:t>
      </w:r>
      <w:r w:rsidRPr="00C06CF6">
        <w:rPr>
          <w:rFonts w:ascii="Arial" w:hAnsi="Arial" w:cs="Arial"/>
          <w:sz w:val="24"/>
          <w:szCs w:val="24"/>
        </w:rPr>
        <w:t>Kamille Albers, First Deputy Recorder</w:t>
      </w:r>
      <w:r>
        <w:rPr>
          <w:rFonts w:ascii="Arial" w:hAnsi="Arial" w:cs="Arial"/>
          <w:sz w:val="24"/>
          <w:szCs w:val="24"/>
        </w:rPr>
        <w:t xml:space="preserve">, </w:t>
      </w:r>
      <w:r w:rsidRPr="00C06CF6">
        <w:rPr>
          <w:rFonts w:ascii="Arial" w:hAnsi="Arial" w:cs="Arial"/>
          <w:sz w:val="24"/>
          <w:szCs w:val="24"/>
        </w:rPr>
        <w:t>Jennifer Stoner, Part-Time Deputy Recorder</w:t>
      </w:r>
      <w:r>
        <w:rPr>
          <w:rFonts w:ascii="Arial" w:hAnsi="Arial" w:cs="Arial"/>
          <w:sz w:val="24"/>
          <w:szCs w:val="24"/>
        </w:rPr>
        <w:t>. Votes on the resolution were as follows: Ayes-Vandehaar, Pabst, Kopsa, Schildroth, and Nederhoff. Nays-none. Resolution adopted.</w:t>
      </w:r>
    </w:p>
    <w:p w14:paraId="5A722464" w14:textId="77777777" w:rsidR="001375F7" w:rsidRDefault="001375F7" w:rsidP="001375F7">
      <w:pPr>
        <w:spacing w:after="0"/>
        <w:rPr>
          <w:rFonts w:ascii="Arial" w:hAnsi="Arial" w:cs="Arial"/>
          <w:sz w:val="24"/>
          <w:szCs w:val="24"/>
        </w:rPr>
      </w:pPr>
      <w:r>
        <w:rPr>
          <w:rFonts w:ascii="Arial" w:hAnsi="Arial" w:cs="Arial"/>
          <w:sz w:val="24"/>
          <w:szCs w:val="24"/>
        </w:rPr>
        <w:t xml:space="preserve">  </w:t>
      </w:r>
      <w:r w:rsidR="00C06CF6">
        <w:rPr>
          <w:rFonts w:ascii="Arial" w:hAnsi="Arial" w:cs="Arial"/>
          <w:sz w:val="24"/>
          <w:szCs w:val="24"/>
        </w:rPr>
        <w:t xml:space="preserve">Brenda Noteboom, County Treasurer, discussed department matters. </w:t>
      </w:r>
    </w:p>
    <w:p w14:paraId="4FB15B50" w14:textId="77777777" w:rsidR="001375F7" w:rsidRDefault="001375F7" w:rsidP="001375F7">
      <w:pPr>
        <w:pStyle w:val="Heading1"/>
        <w:spacing w:before="0" w:after="0"/>
        <w:rPr>
          <w:rFonts w:ascii="Arial" w:hAnsi="Arial" w:cs="Arial"/>
          <w:color w:val="282828"/>
          <w:w w:val="105"/>
          <w:sz w:val="24"/>
          <w:szCs w:val="24"/>
        </w:rPr>
      </w:pPr>
      <w:r w:rsidRPr="008F46E6">
        <w:rPr>
          <w:rFonts w:ascii="Arial" w:hAnsi="Arial" w:cs="Arial"/>
          <w:color w:val="auto"/>
          <w:sz w:val="24"/>
          <w:szCs w:val="24"/>
        </w:rPr>
        <w:t xml:space="preserve">  Motion was made by Kopsa and seconded by Pabst to adopt Resolution #42-2024/2025 TAX ABATEMENT RESOLUTION; </w:t>
      </w:r>
      <w:r w:rsidRPr="008F46E6">
        <w:rPr>
          <w:rFonts w:ascii="Arial" w:hAnsi="Arial" w:cs="Arial"/>
          <w:color w:val="auto"/>
          <w:w w:val="105"/>
          <w:sz w:val="24"/>
          <w:szCs w:val="24"/>
        </w:rPr>
        <w:t>BE</w:t>
      </w:r>
      <w:r w:rsidRPr="008F46E6">
        <w:rPr>
          <w:rFonts w:ascii="Arial" w:hAnsi="Arial" w:cs="Arial"/>
          <w:color w:val="auto"/>
          <w:spacing w:val="-15"/>
          <w:w w:val="105"/>
          <w:sz w:val="24"/>
          <w:szCs w:val="24"/>
        </w:rPr>
        <w:t xml:space="preserve"> </w:t>
      </w:r>
      <w:r w:rsidRPr="008F46E6">
        <w:rPr>
          <w:rFonts w:ascii="Arial" w:hAnsi="Arial" w:cs="Arial"/>
          <w:color w:val="auto"/>
          <w:w w:val="105"/>
          <w:sz w:val="24"/>
          <w:szCs w:val="24"/>
        </w:rPr>
        <w:t>IT</w:t>
      </w:r>
      <w:r w:rsidRPr="008F46E6">
        <w:rPr>
          <w:rFonts w:ascii="Arial" w:hAnsi="Arial" w:cs="Arial"/>
          <w:color w:val="auto"/>
          <w:spacing w:val="-15"/>
          <w:w w:val="105"/>
          <w:sz w:val="24"/>
          <w:szCs w:val="24"/>
        </w:rPr>
        <w:t xml:space="preserve"> </w:t>
      </w:r>
      <w:r w:rsidRPr="008F46E6">
        <w:rPr>
          <w:rFonts w:ascii="Arial" w:hAnsi="Arial" w:cs="Arial"/>
          <w:color w:val="auto"/>
          <w:w w:val="105"/>
          <w:sz w:val="24"/>
          <w:szCs w:val="24"/>
        </w:rPr>
        <w:t>RESOLVED</w:t>
      </w:r>
      <w:r w:rsidRPr="008F46E6">
        <w:rPr>
          <w:rFonts w:ascii="Arial" w:hAnsi="Arial" w:cs="Arial"/>
          <w:color w:val="auto"/>
          <w:spacing w:val="9"/>
          <w:w w:val="105"/>
          <w:sz w:val="24"/>
          <w:szCs w:val="24"/>
        </w:rPr>
        <w:t xml:space="preserve"> </w:t>
      </w:r>
      <w:r w:rsidRPr="008F46E6">
        <w:rPr>
          <w:rFonts w:ascii="Arial" w:hAnsi="Arial" w:cs="Arial"/>
          <w:color w:val="auto"/>
          <w:w w:val="105"/>
          <w:sz w:val="24"/>
          <w:szCs w:val="24"/>
        </w:rPr>
        <w:t>BY</w:t>
      </w:r>
      <w:r w:rsidRPr="008F46E6">
        <w:rPr>
          <w:rFonts w:ascii="Arial" w:hAnsi="Arial" w:cs="Arial"/>
          <w:color w:val="auto"/>
          <w:spacing w:val="-9"/>
          <w:w w:val="105"/>
          <w:sz w:val="24"/>
          <w:szCs w:val="24"/>
        </w:rPr>
        <w:t xml:space="preserve"> </w:t>
      </w:r>
      <w:r w:rsidRPr="008F46E6">
        <w:rPr>
          <w:rFonts w:ascii="Arial" w:hAnsi="Arial" w:cs="Arial"/>
          <w:color w:val="auto"/>
          <w:w w:val="105"/>
          <w:sz w:val="24"/>
          <w:szCs w:val="24"/>
        </w:rPr>
        <w:t>THE</w:t>
      </w:r>
      <w:r w:rsidRPr="008F46E6">
        <w:rPr>
          <w:rFonts w:ascii="Arial" w:hAnsi="Arial" w:cs="Arial"/>
          <w:color w:val="auto"/>
          <w:spacing w:val="-10"/>
          <w:w w:val="105"/>
          <w:sz w:val="24"/>
          <w:szCs w:val="24"/>
        </w:rPr>
        <w:t xml:space="preserve"> </w:t>
      </w:r>
      <w:r w:rsidRPr="008F46E6">
        <w:rPr>
          <w:rFonts w:ascii="Arial" w:hAnsi="Arial" w:cs="Arial"/>
          <w:color w:val="auto"/>
          <w:w w:val="105"/>
          <w:sz w:val="24"/>
          <w:szCs w:val="24"/>
        </w:rPr>
        <w:t>BOARD</w:t>
      </w:r>
      <w:r w:rsidRPr="008F46E6">
        <w:rPr>
          <w:rFonts w:ascii="Arial" w:hAnsi="Arial" w:cs="Arial"/>
          <w:color w:val="auto"/>
          <w:spacing w:val="5"/>
          <w:w w:val="105"/>
          <w:sz w:val="24"/>
          <w:szCs w:val="24"/>
        </w:rPr>
        <w:t xml:space="preserve"> </w:t>
      </w:r>
      <w:r w:rsidRPr="008F46E6">
        <w:rPr>
          <w:rFonts w:ascii="Arial" w:hAnsi="Arial" w:cs="Arial"/>
          <w:color w:val="auto"/>
          <w:w w:val="105"/>
          <w:sz w:val="24"/>
          <w:szCs w:val="24"/>
        </w:rPr>
        <w:t>OF</w:t>
      </w:r>
      <w:r w:rsidRPr="008F46E6">
        <w:rPr>
          <w:rFonts w:ascii="Arial" w:hAnsi="Arial" w:cs="Arial"/>
          <w:color w:val="auto"/>
          <w:spacing w:val="-14"/>
          <w:w w:val="105"/>
          <w:sz w:val="24"/>
          <w:szCs w:val="24"/>
        </w:rPr>
        <w:t xml:space="preserve"> </w:t>
      </w:r>
      <w:r w:rsidRPr="001375F7">
        <w:rPr>
          <w:rFonts w:ascii="Arial" w:hAnsi="Arial" w:cs="Arial"/>
          <w:color w:val="282828"/>
          <w:w w:val="105"/>
          <w:sz w:val="24"/>
          <w:szCs w:val="24"/>
        </w:rPr>
        <w:t>SUPERVISORS</w:t>
      </w:r>
      <w:r w:rsidRPr="001375F7">
        <w:rPr>
          <w:rFonts w:ascii="Arial" w:hAnsi="Arial" w:cs="Arial"/>
          <w:color w:val="282828"/>
          <w:spacing w:val="4"/>
          <w:w w:val="105"/>
          <w:sz w:val="24"/>
          <w:szCs w:val="24"/>
        </w:rPr>
        <w:t xml:space="preserve"> </w:t>
      </w:r>
      <w:r w:rsidRPr="001375F7">
        <w:rPr>
          <w:rFonts w:ascii="Arial" w:hAnsi="Arial" w:cs="Arial"/>
          <w:color w:val="282828"/>
          <w:w w:val="105"/>
          <w:sz w:val="24"/>
          <w:szCs w:val="24"/>
        </w:rPr>
        <w:t>that</w:t>
      </w:r>
      <w:r w:rsidRPr="001375F7">
        <w:rPr>
          <w:rFonts w:ascii="Arial" w:hAnsi="Arial" w:cs="Arial"/>
          <w:color w:val="282828"/>
          <w:spacing w:val="-13"/>
          <w:w w:val="105"/>
          <w:sz w:val="24"/>
          <w:szCs w:val="24"/>
        </w:rPr>
        <w:t xml:space="preserve"> </w:t>
      </w:r>
      <w:r w:rsidRPr="001375F7">
        <w:rPr>
          <w:rFonts w:ascii="Arial" w:hAnsi="Arial" w:cs="Arial"/>
          <w:color w:val="282828"/>
          <w:w w:val="105"/>
          <w:sz w:val="24"/>
          <w:szCs w:val="24"/>
        </w:rPr>
        <w:t>the</w:t>
      </w:r>
      <w:r w:rsidRPr="001375F7">
        <w:rPr>
          <w:rFonts w:ascii="Arial" w:hAnsi="Arial" w:cs="Arial"/>
          <w:color w:val="282828"/>
          <w:spacing w:val="-8"/>
          <w:w w:val="105"/>
          <w:sz w:val="24"/>
          <w:szCs w:val="24"/>
        </w:rPr>
        <w:t xml:space="preserve"> </w:t>
      </w:r>
      <w:r w:rsidRPr="001375F7">
        <w:rPr>
          <w:rFonts w:ascii="Arial" w:hAnsi="Arial" w:cs="Arial"/>
          <w:color w:val="282828"/>
          <w:w w:val="105"/>
          <w:sz w:val="24"/>
          <w:szCs w:val="24"/>
        </w:rPr>
        <w:t>Grundy</w:t>
      </w:r>
      <w:r w:rsidRPr="001375F7">
        <w:rPr>
          <w:rFonts w:ascii="Arial" w:hAnsi="Arial" w:cs="Arial"/>
          <w:color w:val="282828"/>
          <w:spacing w:val="1"/>
          <w:w w:val="105"/>
          <w:sz w:val="24"/>
          <w:szCs w:val="24"/>
        </w:rPr>
        <w:t xml:space="preserve"> </w:t>
      </w:r>
      <w:r w:rsidRPr="001375F7">
        <w:rPr>
          <w:rFonts w:ascii="Arial" w:hAnsi="Arial" w:cs="Arial"/>
          <w:color w:val="282828"/>
          <w:w w:val="105"/>
          <w:sz w:val="24"/>
          <w:szCs w:val="24"/>
        </w:rPr>
        <w:t>County</w:t>
      </w:r>
      <w:r w:rsidRPr="001375F7">
        <w:rPr>
          <w:rFonts w:ascii="Arial" w:hAnsi="Arial" w:cs="Arial"/>
          <w:color w:val="282828"/>
          <w:spacing w:val="-4"/>
          <w:w w:val="105"/>
          <w:sz w:val="24"/>
          <w:szCs w:val="24"/>
        </w:rPr>
        <w:t xml:space="preserve"> </w:t>
      </w:r>
      <w:r w:rsidRPr="001375F7">
        <w:rPr>
          <w:rFonts w:ascii="Arial" w:hAnsi="Arial" w:cs="Arial"/>
          <w:color w:val="282828"/>
          <w:w w:val="105"/>
          <w:sz w:val="24"/>
          <w:szCs w:val="24"/>
        </w:rPr>
        <w:t>Treasurer, pursuant</w:t>
      </w:r>
      <w:r w:rsidRPr="001375F7">
        <w:rPr>
          <w:rFonts w:ascii="Arial" w:hAnsi="Arial" w:cs="Arial"/>
          <w:color w:val="282828"/>
          <w:spacing w:val="4"/>
          <w:w w:val="105"/>
          <w:sz w:val="24"/>
          <w:szCs w:val="24"/>
        </w:rPr>
        <w:t xml:space="preserve"> </w:t>
      </w:r>
      <w:r w:rsidRPr="001375F7">
        <w:rPr>
          <w:rFonts w:ascii="Arial" w:hAnsi="Arial" w:cs="Arial"/>
          <w:color w:val="282828"/>
          <w:w w:val="105"/>
          <w:sz w:val="24"/>
          <w:szCs w:val="24"/>
        </w:rPr>
        <w:t>to</w:t>
      </w:r>
      <w:r w:rsidRPr="001375F7">
        <w:rPr>
          <w:rFonts w:ascii="Arial" w:hAnsi="Arial" w:cs="Arial"/>
          <w:color w:val="282828"/>
          <w:spacing w:val="-10"/>
          <w:w w:val="105"/>
          <w:sz w:val="24"/>
          <w:szCs w:val="24"/>
        </w:rPr>
        <w:t xml:space="preserve"> </w:t>
      </w:r>
      <w:r w:rsidRPr="001375F7">
        <w:rPr>
          <w:rFonts w:ascii="Arial" w:hAnsi="Arial" w:cs="Arial"/>
          <w:color w:val="282828"/>
          <w:w w:val="105"/>
          <w:sz w:val="24"/>
          <w:szCs w:val="24"/>
        </w:rPr>
        <w:t>2024</w:t>
      </w:r>
      <w:r w:rsidRPr="001375F7">
        <w:rPr>
          <w:rFonts w:ascii="Arial" w:hAnsi="Arial" w:cs="Arial"/>
          <w:color w:val="282828"/>
          <w:spacing w:val="-1"/>
          <w:w w:val="105"/>
          <w:sz w:val="24"/>
          <w:szCs w:val="24"/>
        </w:rPr>
        <w:t xml:space="preserve"> </w:t>
      </w:r>
      <w:r w:rsidRPr="001375F7">
        <w:rPr>
          <w:rFonts w:ascii="Arial" w:hAnsi="Arial" w:cs="Arial"/>
          <w:color w:val="282828"/>
          <w:w w:val="105"/>
          <w:sz w:val="24"/>
          <w:szCs w:val="24"/>
        </w:rPr>
        <w:t>Iowa</w:t>
      </w:r>
      <w:r w:rsidRPr="001375F7">
        <w:rPr>
          <w:rFonts w:ascii="Arial" w:hAnsi="Arial" w:cs="Arial"/>
          <w:color w:val="282828"/>
          <w:spacing w:val="-11"/>
          <w:w w:val="105"/>
          <w:sz w:val="24"/>
          <w:szCs w:val="24"/>
        </w:rPr>
        <w:t xml:space="preserve"> </w:t>
      </w:r>
      <w:r w:rsidRPr="001375F7">
        <w:rPr>
          <w:rFonts w:ascii="Arial" w:hAnsi="Arial" w:cs="Arial"/>
          <w:color w:val="282828"/>
          <w:w w:val="105"/>
          <w:sz w:val="24"/>
          <w:szCs w:val="24"/>
        </w:rPr>
        <w:t>Code,</w:t>
      </w:r>
      <w:r w:rsidRPr="001375F7">
        <w:rPr>
          <w:rFonts w:ascii="Arial" w:hAnsi="Arial" w:cs="Arial"/>
          <w:color w:val="282828"/>
          <w:spacing w:val="-5"/>
          <w:w w:val="105"/>
          <w:sz w:val="24"/>
          <w:szCs w:val="24"/>
        </w:rPr>
        <w:t xml:space="preserve"> </w:t>
      </w:r>
      <w:r w:rsidRPr="001375F7">
        <w:rPr>
          <w:rFonts w:ascii="Arial" w:hAnsi="Arial" w:cs="Arial"/>
          <w:color w:val="282828"/>
          <w:w w:val="105"/>
          <w:sz w:val="24"/>
          <w:szCs w:val="24"/>
        </w:rPr>
        <w:t>Sections</w:t>
      </w:r>
      <w:r w:rsidRPr="001375F7">
        <w:rPr>
          <w:rFonts w:ascii="Arial" w:hAnsi="Arial" w:cs="Arial"/>
          <w:color w:val="282828"/>
          <w:spacing w:val="-5"/>
          <w:w w:val="105"/>
          <w:sz w:val="24"/>
          <w:szCs w:val="24"/>
        </w:rPr>
        <w:t xml:space="preserve"> </w:t>
      </w:r>
      <w:r w:rsidRPr="001375F7">
        <w:rPr>
          <w:rFonts w:ascii="Arial" w:hAnsi="Arial" w:cs="Arial"/>
          <w:color w:val="282828"/>
          <w:w w:val="105"/>
          <w:sz w:val="24"/>
          <w:szCs w:val="24"/>
        </w:rPr>
        <w:t>445.63,</w:t>
      </w:r>
      <w:r w:rsidRPr="001375F7">
        <w:rPr>
          <w:rFonts w:ascii="Arial" w:hAnsi="Arial" w:cs="Arial"/>
          <w:color w:val="282828"/>
          <w:spacing w:val="-2"/>
          <w:w w:val="105"/>
          <w:sz w:val="24"/>
          <w:szCs w:val="24"/>
        </w:rPr>
        <w:t xml:space="preserve"> </w:t>
      </w:r>
      <w:r w:rsidRPr="001375F7">
        <w:rPr>
          <w:rFonts w:ascii="Arial" w:hAnsi="Arial" w:cs="Arial"/>
          <w:color w:val="282828"/>
          <w:w w:val="105"/>
          <w:sz w:val="24"/>
          <w:szCs w:val="24"/>
        </w:rPr>
        <w:t>shall</w:t>
      </w:r>
      <w:r w:rsidRPr="001375F7">
        <w:rPr>
          <w:rFonts w:ascii="Arial" w:hAnsi="Arial" w:cs="Arial"/>
          <w:color w:val="282828"/>
          <w:spacing w:val="-8"/>
          <w:w w:val="105"/>
          <w:sz w:val="24"/>
          <w:szCs w:val="24"/>
        </w:rPr>
        <w:t xml:space="preserve"> </w:t>
      </w:r>
      <w:r w:rsidRPr="001375F7">
        <w:rPr>
          <w:rFonts w:ascii="Arial" w:hAnsi="Arial" w:cs="Arial"/>
          <w:color w:val="282828"/>
          <w:w w:val="105"/>
          <w:sz w:val="24"/>
          <w:szCs w:val="24"/>
        </w:rPr>
        <w:t>abate</w:t>
      </w:r>
      <w:r w:rsidRPr="001375F7">
        <w:rPr>
          <w:rFonts w:ascii="Arial" w:hAnsi="Arial" w:cs="Arial"/>
          <w:color w:val="282828"/>
          <w:spacing w:val="-5"/>
          <w:w w:val="105"/>
          <w:sz w:val="24"/>
          <w:szCs w:val="24"/>
        </w:rPr>
        <w:t xml:space="preserve"> </w:t>
      </w:r>
      <w:r w:rsidRPr="001375F7">
        <w:rPr>
          <w:rFonts w:ascii="Arial" w:hAnsi="Arial" w:cs="Arial"/>
          <w:color w:val="282828"/>
          <w:w w:val="105"/>
          <w:sz w:val="24"/>
          <w:szCs w:val="24"/>
        </w:rPr>
        <w:t>all</w:t>
      </w:r>
      <w:r w:rsidRPr="001375F7">
        <w:rPr>
          <w:rFonts w:ascii="Arial" w:hAnsi="Arial" w:cs="Arial"/>
          <w:color w:val="282828"/>
          <w:spacing w:val="-9"/>
          <w:w w:val="105"/>
          <w:sz w:val="24"/>
          <w:szCs w:val="24"/>
        </w:rPr>
        <w:t xml:space="preserve"> </w:t>
      </w:r>
      <w:r w:rsidRPr="001375F7">
        <w:rPr>
          <w:rFonts w:ascii="Arial" w:hAnsi="Arial" w:cs="Arial"/>
          <w:color w:val="282828"/>
          <w:w w:val="105"/>
          <w:sz w:val="24"/>
          <w:szCs w:val="24"/>
        </w:rPr>
        <w:t>taxes, interest</w:t>
      </w:r>
      <w:r w:rsidRPr="001375F7">
        <w:rPr>
          <w:rFonts w:ascii="Arial" w:hAnsi="Arial" w:cs="Arial"/>
          <w:color w:val="282828"/>
          <w:spacing w:val="4"/>
          <w:w w:val="105"/>
          <w:sz w:val="24"/>
          <w:szCs w:val="24"/>
        </w:rPr>
        <w:t xml:space="preserve"> </w:t>
      </w:r>
      <w:r w:rsidRPr="001375F7">
        <w:rPr>
          <w:rFonts w:ascii="Arial" w:hAnsi="Arial" w:cs="Arial"/>
          <w:color w:val="282828"/>
          <w:w w:val="105"/>
          <w:sz w:val="24"/>
          <w:szCs w:val="24"/>
        </w:rPr>
        <w:t>and</w:t>
      </w:r>
      <w:r w:rsidRPr="001375F7">
        <w:rPr>
          <w:rFonts w:ascii="Arial" w:hAnsi="Arial" w:cs="Arial"/>
          <w:color w:val="282828"/>
          <w:spacing w:val="-6"/>
          <w:w w:val="105"/>
          <w:sz w:val="24"/>
          <w:szCs w:val="24"/>
        </w:rPr>
        <w:t xml:space="preserve"> </w:t>
      </w:r>
      <w:r w:rsidRPr="001375F7">
        <w:rPr>
          <w:rFonts w:ascii="Arial" w:hAnsi="Arial" w:cs="Arial"/>
          <w:color w:val="282828"/>
          <w:w w:val="105"/>
          <w:sz w:val="24"/>
          <w:szCs w:val="24"/>
        </w:rPr>
        <w:t>costs</w:t>
      </w:r>
      <w:r w:rsidRPr="001375F7">
        <w:rPr>
          <w:rFonts w:ascii="Arial" w:hAnsi="Arial" w:cs="Arial"/>
          <w:color w:val="282828"/>
          <w:spacing w:val="-4"/>
          <w:w w:val="105"/>
          <w:sz w:val="24"/>
          <w:szCs w:val="24"/>
        </w:rPr>
        <w:t xml:space="preserve"> </w:t>
      </w:r>
      <w:r w:rsidRPr="001375F7">
        <w:rPr>
          <w:rFonts w:ascii="Arial" w:hAnsi="Arial" w:cs="Arial"/>
          <w:color w:val="282828"/>
          <w:w w:val="105"/>
          <w:sz w:val="24"/>
          <w:szCs w:val="24"/>
        </w:rPr>
        <w:t>and</w:t>
      </w:r>
      <w:r w:rsidRPr="001375F7">
        <w:rPr>
          <w:rFonts w:ascii="Arial" w:hAnsi="Arial" w:cs="Arial"/>
          <w:color w:val="282828"/>
          <w:spacing w:val="-7"/>
          <w:w w:val="105"/>
          <w:sz w:val="24"/>
          <w:szCs w:val="24"/>
        </w:rPr>
        <w:t xml:space="preserve"> </w:t>
      </w:r>
      <w:r w:rsidRPr="001375F7">
        <w:rPr>
          <w:rFonts w:ascii="Arial" w:hAnsi="Arial" w:cs="Arial"/>
          <w:color w:val="282828"/>
          <w:w w:val="105"/>
          <w:sz w:val="24"/>
          <w:szCs w:val="24"/>
        </w:rPr>
        <w:t>strike from the tax books the following tax</w:t>
      </w:r>
      <w:r w:rsidRPr="001375F7">
        <w:rPr>
          <w:rFonts w:ascii="Arial" w:hAnsi="Arial" w:cs="Arial"/>
          <w:color w:val="282828"/>
          <w:spacing w:val="-6"/>
          <w:w w:val="105"/>
          <w:sz w:val="24"/>
          <w:szCs w:val="24"/>
        </w:rPr>
        <w:t xml:space="preserve"> </w:t>
      </w:r>
      <w:r w:rsidRPr="001375F7">
        <w:rPr>
          <w:rFonts w:ascii="Arial" w:hAnsi="Arial" w:cs="Arial"/>
          <w:color w:val="282828"/>
          <w:w w:val="105"/>
          <w:sz w:val="24"/>
          <w:szCs w:val="24"/>
        </w:rPr>
        <w:t>parcels:</w:t>
      </w:r>
      <w:r>
        <w:rPr>
          <w:rFonts w:ascii="Arial" w:hAnsi="Arial" w:cs="Arial"/>
          <w:color w:val="282828"/>
          <w:w w:val="105"/>
          <w:sz w:val="24"/>
          <w:szCs w:val="24"/>
        </w:rPr>
        <w:t xml:space="preserve"> </w:t>
      </w:r>
    </w:p>
    <w:p w14:paraId="200F0575" w14:textId="2F14E567" w:rsidR="001375F7" w:rsidRDefault="001375F7" w:rsidP="001375F7">
      <w:pPr>
        <w:pStyle w:val="Heading1"/>
        <w:spacing w:before="0" w:after="0"/>
        <w:rPr>
          <w:rFonts w:ascii="Arial" w:hAnsi="Arial" w:cs="Arial"/>
          <w:color w:val="282828"/>
          <w:w w:val="105"/>
          <w:sz w:val="24"/>
          <w:szCs w:val="24"/>
        </w:rPr>
      </w:pPr>
      <w:r w:rsidRPr="001375F7">
        <w:rPr>
          <w:rFonts w:ascii="Arial" w:hAnsi="Arial" w:cs="Arial"/>
          <w:color w:val="282828"/>
          <w:w w:val="105"/>
          <w:sz w:val="24"/>
          <w:szCs w:val="24"/>
        </w:rPr>
        <w:t xml:space="preserve">Owner: City of Holland, Parcel Number 881726380002. </w:t>
      </w:r>
    </w:p>
    <w:tbl>
      <w:tblPr>
        <w:tblW w:w="0" w:type="auto"/>
        <w:tblInd w:w="202" w:type="dxa"/>
        <w:tblLayout w:type="fixed"/>
        <w:tblCellMar>
          <w:left w:w="0" w:type="dxa"/>
          <w:right w:w="0" w:type="dxa"/>
        </w:tblCellMar>
        <w:tblLook w:val="01E0" w:firstRow="1" w:lastRow="1" w:firstColumn="1" w:lastColumn="1" w:noHBand="0" w:noVBand="0"/>
      </w:tblPr>
      <w:tblGrid>
        <w:gridCol w:w="1850"/>
        <w:gridCol w:w="1544"/>
        <w:gridCol w:w="1354"/>
        <w:gridCol w:w="2270"/>
        <w:gridCol w:w="802"/>
      </w:tblGrid>
      <w:tr w:rsidR="001375F7" w14:paraId="259B31CB" w14:textId="77777777" w:rsidTr="0016136A">
        <w:trPr>
          <w:trHeight w:val="269"/>
        </w:trPr>
        <w:tc>
          <w:tcPr>
            <w:tcW w:w="1850" w:type="dxa"/>
          </w:tcPr>
          <w:p w14:paraId="4863A006" w14:textId="77777777" w:rsidR="001375F7" w:rsidRDefault="001375F7" w:rsidP="0016136A">
            <w:pPr>
              <w:pStyle w:val="TableParagraph"/>
              <w:ind w:left="50"/>
              <w:jc w:val="left"/>
              <w:rPr>
                <w:sz w:val="23"/>
              </w:rPr>
            </w:pPr>
            <w:r>
              <w:rPr>
                <w:color w:val="282828"/>
                <w:w w:val="105"/>
                <w:sz w:val="23"/>
              </w:rPr>
              <w:t>Tax Year 2020</w:t>
            </w:r>
          </w:p>
        </w:tc>
        <w:tc>
          <w:tcPr>
            <w:tcW w:w="1544" w:type="dxa"/>
          </w:tcPr>
          <w:p w14:paraId="30FEE172" w14:textId="77777777" w:rsidR="001375F7" w:rsidRDefault="001375F7" w:rsidP="0016136A">
            <w:pPr>
              <w:pStyle w:val="TableParagraph"/>
              <w:ind w:right="267"/>
              <w:rPr>
                <w:sz w:val="23"/>
              </w:rPr>
            </w:pPr>
            <w:r>
              <w:rPr>
                <w:color w:val="282828"/>
                <w:w w:val="110"/>
                <w:sz w:val="23"/>
              </w:rPr>
              <w:t>Receipt#</w:t>
            </w:r>
          </w:p>
        </w:tc>
        <w:tc>
          <w:tcPr>
            <w:tcW w:w="1354" w:type="dxa"/>
          </w:tcPr>
          <w:p w14:paraId="3D1B8F08" w14:textId="77777777" w:rsidR="001375F7" w:rsidRDefault="001375F7" w:rsidP="0016136A">
            <w:pPr>
              <w:pStyle w:val="TableParagraph"/>
              <w:ind w:left="271"/>
              <w:jc w:val="left"/>
              <w:rPr>
                <w:sz w:val="23"/>
              </w:rPr>
            </w:pPr>
            <w:r>
              <w:rPr>
                <w:color w:val="282828"/>
                <w:w w:val="105"/>
                <w:sz w:val="23"/>
              </w:rPr>
              <w:t>099598</w:t>
            </w:r>
          </w:p>
        </w:tc>
        <w:tc>
          <w:tcPr>
            <w:tcW w:w="2270" w:type="dxa"/>
          </w:tcPr>
          <w:p w14:paraId="654AFDB8" w14:textId="77777777" w:rsidR="001375F7" w:rsidRDefault="001375F7" w:rsidP="0016136A">
            <w:pPr>
              <w:pStyle w:val="TableParagraph"/>
              <w:ind w:right="259"/>
              <w:rPr>
                <w:sz w:val="23"/>
              </w:rPr>
            </w:pPr>
            <w:r>
              <w:rPr>
                <w:color w:val="282828"/>
                <w:w w:val="105"/>
                <w:sz w:val="23"/>
              </w:rPr>
              <w:t>Original Amount</w:t>
            </w:r>
          </w:p>
        </w:tc>
        <w:tc>
          <w:tcPr>
            <w:tcW w:w="802" w:type="dxa"/>
          </w:tcPr>
          <w:p w14:paraId="08F4778E" w14:textId="77777777" w:rsidR="001375F7" w:rsidRDefault="001375F7" w:rsidP="0016136A">
            <w:pPr>
              <w:pStyle w:val="TableParagraph"/>
              <w:ind w:right="46"/>
              <w:rPr>
                <w:sz w:val="23"/>
              </w:rPr>
            </w:pPr>
            <w:r>
              <w:rPr>
                <w:color w:val="282828"/>
                <w:w w:val="105"/>
                <w:sz w:val="23"/>
              </w:rPr>
              <w:t>$222</w:t>
            </w:r>
          </w:p>
        </w:tc>
      </w:tr>
      <w:tr w:rsidR="001375F7" w14:paraId="62998701" w14:textId="77777777" w:rsidTr="0016136A">
        <w:trPr>
          <w:trHeight w:val="276"/>
        </w:trPr>
        <w:tc>
          <w:tcPr>
            <w:tcW w:w="1850" w:type="dxa"/>
          </w:tcPr>
          <w:p w14:paraId="4DD1FCDB" w14:textId="77777777" w:rsidR="001375F7" w:rsidRDefault="001375F7" w:rsidP="0016136A">
            <w:pPr>
              <w:pStyle w:val="TableParagraph"/>
              <w:spacing w:line="256" w:lineRule="exact"/>
              <w:ind w:left="50"/>
              <w:jc w:val="left"/>
              <w:rPr>
                <w:sz w:val="23"/>
              </w:rPr>
            </w:pPr>
            <w:r>
              <w:rPr>
                <w:color w:val="282828"/>
                <w:w w:val="105"/>
                <w:sz w:val="23"/>
              </w:rPr>
              <w:t>Tax Year 2021</w:t>
            </w:r>
          </w:p>
        </w:tc>
        <w:tc>
          <w:tcPr>
            <w:tcW w:w="1544" w:type="dxa"/>
          </w:tcPr>
          <w:p w14:paraId="0BDE3BAC" w14:textId="77777777" w:rsidR="001375F7" w:rsidRDefault="001375F7" w:rsidP="0016136A">
            <w:pPr>
              <w:pStyle w:val="TableParagraph"/>
              <w:spacing w:line="256" w:lineRule="exact"/>
              <w:ind w:right="267"/>
              <w:rPr>
                <w:sz w:val="23"/>
              </w:rPr>
            </w:pPr>
            <w:r>
              <w:rPr>
                <w:color w:val="282828"/>
                <w:w w:val="110"/>
                <w:sz w:val="23"/>
              </w:rPr>
              <w:t>Receipt#</w:t>
            </w:r>
          </w:p>
        </w:tc>
        <w:tc>
          <w:tcPr>
            <w:tcW w:w="1354" w:type="dxa"/>
          </w:tcPr>
          <w:p w14:paraId="67A3EE5A" w14:textId="77777777" w:rsidR="001375F7" w:rsidRDefault="001375F7" w:rsidP="0016136A">
            <w:pPr>
              <w:pStyle w:val="TableParagraph"/>
              <w:spacing w:line="256" w:lineRule="exact"/>
              <w:ind w:left="272"/>
              <w:jc w:val="left"/>
              <w:rPr>
                <w:sz w:val="23"/>
              </w:rPr>
            </w:pPr>
            <w:r>
              <w:rPr>
                <w:color w:val="282828"/>
                <w:w w:val="105"/>
                <w:sz w:val="23"/>
              </w:rPr>
              <w:t>130507</w:t>
            </w:r>
          </w:p>
        </w:tc>
        <w:tc>
          <w:tcPr>
            <w:tcW w:w="2270" w:type="dxa"/>
          </w:tcPr>
          <w:p w14:paraId="16FBEDBB" w14:textId="77777777" w:rsidR="001375F7" w:rsidRDefault="001375F7" w:rsidP="0016136A">
            <w:pPr>
              <w:pStyle w:val="TableParagraph"/>
              <w:spacing w:line="256" w:lineRule="exact"/>
              <w:ind w:right="259"/>
              <w:rPr>
                <w:sz w:val="23"/>
              </w:rPr>
            </w:pPr>
            <w:r>
              <w:rPr>
                <w:color w:val="282828"/>
                <w:w w:val="105"/>
                <w:sz w:val="23"/>
              </w:rPr>
              <w:t>Original Amount</w:t>
            </w:r>
          </w:p>
        </w:tc>
        <w:tc>
          <w:tcPr>
            <w:tcW w:w="802" w:type="dxa"/>
          </w:tcPr>
          <w:p w14:paraId="59DBDC26" w14:textId="77777777" w:rsidR="001375F7" w:rsidRDefault="001375F7" w:rsidP="0016136A">
            <w:pPr>
              <w:pStyle w:val="TableParagraph"/>
              <w:spacing w:before="5" w:line="252" w:lineRule="exact"/>
              <w:ind w:right="46"/>
              <w:rPr>
                <w:sz w:val="23"/>
              </w:rPr>
            </w:pPr>
            <w:r>
              <w:rPr>
                <w:color w:val="282828"/>
                <w:w w:val="105"/>
                <w:sz w:val="23"/>
              </w:rPr>
              <w:t>$274</w:t>
            </w:r>
          </w:p>
        </w:tc>
      </w:tr>
      <w:tr w:rsidR="001375F7" w14:paraId="325CA719" w14:textId="77777777" w:rsidTr="0016136A">
        <w:trPr>
          <w:trHeight w:val="274"/>
        </w:trPr>
        <w:tc>
          <w:tcPr>
            <w:tcW w:w="1850" w:type="dxa"/>
          </w:tcPr>
          <w:p w14:paraId="36DD0C1A" w14:textId="77777777" w:rsidR="001375F7" w:rsidRDefault="001375F7" w:rsidP="0016136A">
            <w:pPr>
              <w:pStyle w:val="TableParagraph"/>
              <w:spacing w:line="254" w:lineRule="exact"/>
              <w:ind w:left="50"/>
              <w:jc w:val="left"/>
              <w:rPr>
                <w:sz w:val="23"/>
              </w:rPr>
            </w:pPr>
            <w:r>
              <w:rPr>
                <w:color w:val="282828"/>
                <w:w w:val="105"/>
                <w:sz w:val="23"/>
              </w:rPr>
              <w:t>Tax Year 2022</w:t>
            </w:r>
          </w:p>
        </w:tc>
        <w:tc>
          <w:tcPr>
            <w:tcW w:w="1544" w:type="dxa"/>
          </w:tcPr>
          <w:p w14:paraId="59261A02" w14:textId="77777777" w:rsidR="001375F7" w:rsidRDefault="001375F7" w:rsidP="0016136A">
            <w:pPr>
              <w:pStyle w:val="TableParagraph"/>
              <w:spacing w:line="254" w:lineRule="exact"/>
              <w:ind w:right="267"/>
              <w:rPr>
                <w:sz w:val="23"/>
              </w:rPr>
            </w:pPr>
            <w:r>
              <w:rPr>
                <w:color w:val="282828"/>
                <w:w w:val="110"/>
                <w:sz w:val="23"/>
              </w:rPr>
              <w:t>Receipt#</w:t>
            </w:r>
          </w:p>
        </w:tc>
        <w:tc>
          <w:tcPr>
            <w:tcW w:w="1354" w:type="dxa"/>
          </w:tcPr>
          <w:p w14:paraId="25C0B364" w14:textId="77777777" w:rsidR="001375F7" w:rsidRDefault="001375F7" w:rsidP="0016136A">
            <w:pPr>
              <w:pStyle w:val="TableParagraph"/>
              <w:spacing w:before="2" w:line="252" w:lineRule="exact"/>
              <w:ind w:left="272"/>
              <w:jc w:val="left"/>
              <w:rPr>
                <w:sz w:val="23"/>
              </w:rPr>
            </w:pPr>
            <w:r>
              <w:rPr>
                <w:color w:val="282828"/>
                <w:w w:val="105"/>
                <w:sz w:val="23"/>
              </w:rPr>
              <w:t>151382</w:t>
            </w:r>
          </w:p>
        </w:tc>
        <w:tc>
          <w:tcPr>
            <w:tcW w:w="2270" w:type="dxa"/>
          </w:tcPr>
          <w:p w14:paraId="6CAED60C" w14:textId="77777777" w:rsidR="001375F7" w:rsidRDefault="001375F7" w:rsidP="0016136A">
            <w:pPr>
              <w:pStyle w:val="TableParagraph"/>
              <w:spacing w:before="2" w:line="252" w:lineRule="exact"/>
              <w:ind w:right="259"/>
              <w:rPr>
                <w:sz w:val="23"/>
              </w:rPr>
            </w:pPr>
            <w:r>
              <w:rPr>
                <w:color w:val="282828"/>
                <w:w w:val="105"/>
                <w:sz w:val="23"/>
              </w:rPr>
              <w:t>Original Amount</w:t>
            </w:r>
          </w:p>
        </w:tc>
        <w:tc>
          <w:tcPr>
            <w:tcW w:w="802" w:type="dxa"/>
          </w:tcPr>
          <w:p w14:paraId="0A567895" w14:textId="77777777" w:rsidR="001375F7" w:rsidRDefault="001375F7" w:rsidP="0016136A">
            <w:pPr>
              <w:pStyle w:val="TableParagraph"/>
              <w:spacing w:before="2" w:line="252" w:lineRule="exact"/>
              <w:ind w:right="46"/>
              <w:rPr>
                <w:sz w:val="23"/>
              </w:rPr>
            </w:pPr>
            <w:r>
              <w:rPr>
                <w:color w:val="282828"/>
                <w:w w:val="105"/>
                <w:sz w:val="23"/>
              </w:rPr>
              <w:t>$284</w:t>
            </w:r>
          </w:p>
        </w:tc>
      </w:tr>
      <w:tr w:rsidR="001375F7" w14:paraId="5C2E9DD4" w14:textId="77777777" w:rsidTr="0016136A">
        <w:trPr>
          <w:trHeight w:val="267"/>
        </w:trPr>
        <w:tc>
          <w:tcPr>
            <w:tcW w:w="1850" w:type="dxa"/>
          </w:tcPr>
          <w:p w14:paraId="2783420D" w14:textId="77777777" w:rsidR="001375F7" w:rsidRDefault="001375F7" w:rsidP="0016136A">
            <w:pPr>
              <w:pStyle w:val="TableParagraph"/>
              <w:spacing w:line="247" w:lineRule="exact"/>
              <w:ind w:left="50"/>
              <w:jc w:val="left"/>
              <w:rPr>
                <w:sz w:val="23"/>
              </w:rPr>
            </w:pPr>
            <w:r>
              <w:rPr>
                <w:color w:val="282828"/>
                <w:w w:val="105"/>
                <w:sz w:val="23"/>
              </w:rPr>
              <w:t>Tax Year 2023</w:t>
            </w:r>
          </w:p>
        </w:tc>
        <w:tc>
          <w:tcPr>
            <w:tcW w:w="1544" w:type="dxa"/>
          </w:tcPr>
          <w:p w14:paraId="7189A9A3" w14:textId="77777777" w:rsidR="001375F7" w:rsidRDefault="001375F7" w:rsidP="0016136A">
            <w:pPr>
              <w:pStyle w:val="TableParagraph"/>
              <w:spacing w:before="2" w:line="245" w:lineRule="exact"/>
              <w:ind w:right="267"/>
              <w:rPr>
                <w:sz w:val="23"/>
              </w:rPr>
            </w:pPr>
            <w:r>
              <w:rPr>
                <w:color w:val="282828"/>
                <w:w w:val="110"/>
                <w:sz w:val="23"/>
              </w:rPr>
              <w:t>Receipt#</w:t>
            </w:r>
          </w:p>
        </w:tc>
        <w:tc>
          <w:tcPr>
            <w:tcW w:w="1354" w:type="dxa"/>
          </w:tcPr>
          <w:p w14:paraId="493DC5E7" w14:textId="77777777" w:rsidR="001375F7" w:rsidRDefault="001375F7" w:rsidP="0016136A">
            <w:pPr>
              <w:pStyle w:val="TableParagraph"/>
              <w:spacing w:before="2" w:line="245" w:lineRule="exact"/>
              <w:ind w:left="272"/>
              <w:jc w:val="left"/>
              <w:rPr>
                <w:sz w:val="23"/>
              </w:rPr>
            </w:pPr>
            <w:r>
              <w:rPr>
                <w:color w:val="282828"/>
                <w:w w:val="105"/>
                <w:sz w:val="23"/>
              </w:rPr>
              <w:t>158828</w:t>
            </w:r>
          </w:p>
        </w:tc>
        <w:tc>
          <w:tcPr>
            <w:tcW w:w="2270" w:type="dxa"/>
          </w:tcPr>
          <w:p w14:paraId="61DE1A23" w14:textId="77777777" w:rsidR="001375F7" w:rsidRDefault="001375F7" w:rsidP="0016136A">
            <w:pPr>
              <w:pStyle w:val="TableParagraph"/>
              <w:spacing w:before="2" w:line="245" w:lineRule="exact"/>
              <w:ind w:right="259"/>
              <w:rPr>
                <w:sz w:val="23"/>
              </w:rPr>
            </w:pPr>
            <w:r>
              <w:rPr>
                <w:color w:val="282828"/>
                <w:w w:val="105"/>
                <w:sz w:val="23"/>
              </w:rPr>
              <w:t>Original Amount</w:t>
            </w:r>
          </w:p>
        </w:tc>
        <w:tc>
          <w:tcPr>
            <w:tcW w:w="802" w:type="dxa"/>
          </w:tcPr>
          <w:p w14:paraId="209DAE26" w14:textId="77777777" w:rsidR="001375F7" w:rsidRDefault="001375F7" w:rsidP="0016136A">
            <w:pPr>
              <w:pStyle w:val="TableParagraph"/>
              <w:spacing w:before="2" w:line="245" w:lineRule="exact"/>
              <w:ind w:right="46"/>
              <w:rPr>
                <w:sz w:val="23"/>
              </w:rPr>
            </w:pPr>
            <w:r>
              <w:rPr>
                <w:color w:val="282828"/>
                <w:w w:val="105"/>
                <w:sz w:val="23"/>
              </w:rPr>
              <w:t>$256</w:t>
            </w:r>
          </w:p>
        </w:tc>
      </w:tr>
    </w:tbl>
    <w:p w14:paraId="0722B0B1" w14:textId="22827406" w:rsidR="001375F7" w:rsidRDefault="001375F7" w:rsidP="003E2DB9">
      <w:pPr>
        <w:pStyle w:val="BodyText"/>
        <w:spacing w:line="252" w:lineRule="auto"/>
        <w:ind w:firstLine="6"/>
        <w:rPr>
          <w:rFonts w:ascii="Arial" w:hAnsi="Arial" w:cs="Arial"/>
          <w:color w:val="282828"/>
          <w:w w:val="105"/>
          <w:sz w:val="24"/>
          <w:szCs w:val="24"/>
        </w:rPr>
      </w:pPr>
      <w:r w:rsidRPr="001375F7">
        <w:rPr>
          <w:rFonts w:ascii="Arial" w:hAnsi="Arial" w:cs="Arial"/>
          <w:color w:val="282828"/>
          <w:w w:val="105"/>
          <w:sz w:val="24"/>
          <w:szCs w:val="24"/>
        </w:rPr>
        <w:t xml:space="preserve">City of Holland was awarded the parcel by Grundy County Clerk of District Court order, case #EQV060378. The property was cited abandoned property pursuant to Iowa Code Section 657A.10A. The Court awarded property free and clear from </w:t>
      </w:r>
      <w:proofErr w:type="gramStart"/>
      <w:r w:rsidRPr="001375F7">
        <w:rPr>
          <w:rFonts w:ascii="Arial" w:hAnsi="Arial" w:cs="Arial"/>
          <w:color w:val="282828"/>
          <w:w w:val="105"/>
          <w:sz w:val="24"/>
          <w:szCs w:val="24"/>
        </w:rPr>
        <w:t>any and all</w:t>
      </w:r>
      <w:proofErr w:type="gramEnd"/>
      <w:r w:rsidRPr="001375F7">
        <w:rPr>
          <w:rFonts w:ascii="Arial" w:hAnsi="Arial" w:cs="Arial"/>
          <w:color w:val="282828"/>
          <w:w w:val="105"/>
          <w:sz w:val="24"/>
          <w:szCs w:val="24"/>
        </w:rPr>
        <w:t xml:space="preserve"> liens and encumbrances.</w:t>
      </w:r>
      <w:r w:rsidR="008F46E6">
        <w:rPr>
          <w:rFonts w:ascii="Arial" w:hAnsi="Arial" w:cs="Arial"/>
          <w:color w:val="282828"/>
          <w:w w:val="105"/>
          <w:sz w:val="24"/>
          <w:szCs w:val="24"/>
        </w:rPr>
        <w:t xml:space="preserve"> Votes on the resolution </w:t>
      </w:r>
      <w:proofErr w:type="gramStart"/>
      <w:r w:rsidR="008F46E6">
        <w:rPr>
          <w:rFonts w:ascii="Arial" w:hAnsi="Arial" w:cs="Arial"/>
          <w:color w:val="282828"/>
          <w:w w:val="105"/>
          <w:sz w:val="24"/>
          <w:szCs w:val="24"/>
        </w:rPr>
        <w:t>was</w:t>
      </w:r>
      <w:proofErr w:type="gramEnd"/>
      <w:r w:rsidR="008F46E6">
        <w:rPr>
          <w:rFonts w:ascii="Arial" w:hAnsi="Arial" w:cs="Arial"/>
          <w:color w:val="282828"/>
          <w:w w:val="105"/>
          <w:sz w:val="24"/>
          <w:szCs w:val="24"/>
        </w:rPr>
        <w:t xml:space="preserve"> as follows: Ayes-</w:t>
      </w:r>
      <w:r w:rsidR="008F46E6">
        <w:rPr>
          <w:rFonts w:ascii="Arial" w:hAnsi="Arial" w:cs="Arial"/>
          <w:color w:val="282828"/>
          <w:w w:val="105"/>
          <w:sz w:val="24"/>
          <w:szCs w:val="24"/>
        </w:rPr>
        <w:lastRenderedPageBreak/>
        <w:t xml:space="preserve">Vandehaar, Pabst, Kopsa, Schildroth, and Nederhoff. Nays-none. Resolution adopted. </w:t>
      </w:r>
    </w:p>
    <w:p w14:paraId="593EB529" w14:textId="036309AF" w:rsidR="003E2DB9" w:rsidRDefault="003E2DB9" w:rsidP="003E2DB9">
      <w:pPr>
        <w:pStyle w:val="BodyText"/>
        <w:spacing w:line="252" w:lineRule="auto"/>
        <w:ind w:firstLine="6"/>
        <w:rPr>
          <w:rFonts w:ascii="Arial" w:hAnsi="Arial" w:cs="Arial"/>
          <w:color w:val="282828"/>
          <w:w w:val="105"/>
          <w:sz w:val="24"/>
          <w:szCs w:val="24"/>
        </w:rPr>
      </w:pPr>
      <w:r>
        <w:rPr>
          <w:rFonts w:ascii="Arial" w:hAnsi="Arial" w:cs="Arial"/>
          <w:color w:val="282828"/>
          <w:w w:val="105"/>
          <w:sz w:val="24"/>
          <w:szCs w:val="24"/>
        </w:rPr>
        <w:t xml:space="preserve">  Motion was made by Pabst and seconded by Schildroth to approve the 6% Raise in Landfill Salary for FY2026. Carried unanimously. </w:t>
      </w:r>
    </w:p>
    <w:p w14:paraId="10B47B9A" w14:textId="77777777" w:rsidR="003E2DB9" w:rsidRDefault="003E2DB9" w:rsidP="003E2DB9">
      <w:pPr>
        <w:pStyle w:val="BodyText"/>
        <w:spacing w:line="252" w:lineRule="auto"/>
        <w:ind w:firstLine="6"/>
        <w:rPr>
          <w:rFonts w:ascii="Arial" w:hAnsi="Arial" w:cs="Arial"/>
          <w:color w:val="282828"/>
          <w:w w:val="105"/>
          <w:sz w:val="24"/>
          <w:szCs w:val="24"/>
        </w:rPr>
      </w:pPr>
      <w:r>
        <w:rPr>
          <w:rFonts w:ascii="Arial" w:hAnsi="Arial" w:cs="Arial"/>
          <w:color w:val="282828"/>
          <w:w w:val="105"/>
          <w:sz w:val="24"/>
          <w:szCs w:val="24"/>
        </w:rPr>
        <w:t xml:space="preserve">  Motion was made by Kopsa and seconded by Schildroth to approve the Board of Health Total Appropriations for FY2026. Carried 4-1. </w:t>
      </w:r>
    </w:p>
    <w:p w14:paraId="33177205" w14:textId="77777777" w:rsidR="003E2DB9" w:rsidRDefault="003E2DB9" w:rsidP="003E2DB9">
      <w:pPr>
        <w:pStyle w:val="BodyText"/>
        <w:spacing w:line="252" w:lineRule="auto"/>
        <w:ind w:firstLine="6"/>
        <w:rPr>
          <w:rFonts w:ascii="Arial" w:hAnsi="Arial" w:cs="Arial"/>
          <w:color w:val="282828"/>
          <w:w w:val="105"/>
          <w:sz w:val="24"/>
          <w:szCs w:val="24"/>
        </w:rPr>
      </w:pPr>
      <w:r>
        <w:rPr>
          <w:rFonts w:ascii="Arial" w:hAnsi="Arial" w:cs="Arial"/>
          <w:color w:val="282828"/>
          <w:w w:val="105"/>
          <w:sz w:val="24"/>
          <w:szCs w:val="24"/>
        </w:rPr>
        <w:t xml:space="preserve">  Motion was made by Schildroth and seconded by Vandehaar to approve the sale of the old rifles to the Sheriff’s Deputies.  Carried unanimously. </w:t>
      </w:r>
    </w:p>
    <w:p w14:paraId="5007914E" w14:textId="0AF19967" w:rsidR="005744F0" w:rsidRDefault="005744F0" w:rsidP="003E2DB9">
      <w:pPr>
        <w:pStyle w:val="BodyText"/>
        <w:spacing w:line="252" w:lineRule="auto"/>
        <w:ind w:firstLine="6"/>
        <w:rPr>
          <w:rFonts w:ascii="Arial" w:hAnsi="Arial" w:cs="Arial"/>
          <w:color w:val="282828"/>
          <w:w w:val="105"/>
          <w:sz w:val="24"/>
          <w:szCs w:val="24"/>
        </w:rPr>
      </w:pPr>
      <w:r>
        <w:rPr>
          <w:rFonts w:ascii="Arial" w:hAnsi="Arial" w:cs="Arial"/>
          <w:color w:val="282828"/>
          <w:w w:val="105"/>
          <w:sz w:val="24"/>
          <w:szCs w:val="24"/>
        </w:rPr>
        <w:t xml:space="preserve">  There was a discussion about the current County-Owned Personal Property Disposal Property.  No action was taken at this time.</w:t>
      </w:r>
    </w:p>
    <w:p w14:paraId="76634326" w14:textId="77777777" w:rsidR="003E2DB9" w:rsidRDefault="003E2DB9" w:rsidP="003E2DB9">
      <w:pPr>
        <w:pStyle w:val="BodyText"/>
        <w:spacing w:line="252" w:lineRule="auto"/>
        <w:ind w:firstLine="6"/>
        <w:rPr>
          <w:rFonts w:ascii="Arial" w:hAnsi="Arial" w:cs="Arial"/>
          <w:color w:val="282828"/>
          <w:w w:val="105"/>
          <w:sz w:val="24"/>
          <w:szCs w:val="24"/>
        </w:rPr>
      </w:pPr>
      <w:r>
        <w:rPr>
          <w:rFonts w:ascii="Arial" w:hAnsi="Arial" w:cs="Arial"/>
          <w:color w:val="282828"/>
          <w:w w:val="105"/>
          <w:sz w:val="24"/>
          <w:szCs w:val="24"/>
        </w:rPr>
        <w:t xml:space="preserve">  Motion was made by Schildroth and seconded by Kopsa to accept the Resignation of BlackHawk Township Trustee Wallace Stensland.  Carried unanimously. </w:t>
      </w:r>
    </w:p>
    <w:p w14:paraId="6892913E" w14:textId="25F8E59D" w:rsidR="003E2DB9" w:rsidRDefault="003E2DB9" w:rsidP="003E2DB9">
      <w:pPr>
        <w:pStyle w:val="BodyText"/>
        <w:spacing w:line="252" w:lineRule="auto"/>
        <w:ind w:firstLine="6"/>
        <w:rPr>
          <w:rFonts w:ascii="Arial" w:hAnsi="Arial" w:cs="Arial"/>
          <w:color w:val="282828"/>
          <w:w w:val="105"/>
          <w:sz w:val="24"/>
          <w:szCs w:val="24"/>
        </w:rPr>
      </w:pPr>
      <w:r>
        <w:rPr>
          <w:rFonts w:ascii="Arial" w:hAnsi="Arial" w:cs="Arial"/>
          <w:color w:val="282828"/>
          <w:w w:val="105"/>
          <w:sz w:val="24"/>
          <w:szCs w:val="24"/>
        </w:rPr>
        <w:t xml:space="preserve">  Motion was made by Schildroth and seconded by Vandehaar to appoint Dan Koch as Blackhawk Township Trustee for a term ending December 31, 2028.   </w:t>
      </w:r>
    </w:p>
    <w:p w14:paraId="4747F0E5" w14:textId="65F40012" w:rsidR="003E2DB9" w:rsidRDefault="003E2DB9" w:rsidP="003E2DB9">
      <w:pPr>
        <w:pStyle w:val="BodyText"/>
        <w:spacing w:line="252" w:lineRule="auto"/>
        <w:ind w:firstLine="6"/>
        <w:rPr>
          <w:rFonts w:ascii="Arial" w:hAnsi="Arial" w:cs="Arial"/>
          <w:color w:val="282828"/>
          <w:w w:val="105"/>
          <w:sz w:val="24"/>
          <w:szCs w:val="24"/>
        </w:rPr>
      </w:pPr>
      <w:r>
        <w:rPr>
          <w:rFonts w:ascii="Arial" w:hAnsi="Arial" w:cs="Arial"/>
          <w:color w:val="282828"/>
          <w:w w:val="105"/>
          <w:sz w:val="24"/>
          <w:szCs w:val="24"/>
        </w:rPr>
        <w:t xml:space="preserve">  Updates on various board and committee meetings were given. </w:t>
      </w:r>
    </w:p>
    <w:p w14:paraId="635F1517" w14:textId="05463522" w:rsidR="003E2DB9" w:rsidRDefault="003E2DB9" w:rsidP="003E2DB9">
      <w:pPr>
        <w:pStyle w:val="BodyText"/>
        <w:spacing w:line="252" w:lineRule="auto"/>
        <w:ind w:firstLine="6"/>
        <w:rPr>
          <w:rFonts w:ascii="Arial" w:hAnsi="Arial" w:cs="Arial"/>
          <w:color w:val="282828"/>
          <w:w w:val="105"/>
          <w:sz w:val="24"/>
          <w:szCs w:val="24"/>
        </w:rPr>
      </w:pPr>
      <w:r>
        <w:rPr>
          <w:rFonts w:ascii="Arial" w:hAnsi="Arial" w:cs="Arial"/>
          <w:color w:val="282828"/>
          <w:w w:val="105"/>
          <w:sz w:val="24"/>
          <w:szCs w:val="24"/>
        </w:rPr>
        <w:t xml:space="preserve">  Motion was made by Kopsa and seconded by Vandehaar to adjourn the meeting. Carried unanimously. </w:t>
      </w:r>
    </w:p>
    <w:p w14:paraId="18CC7547" w14:textId="77777777" w:rsidR="003E2DB9" w:rsidRDefault="003E2DB9" w:rsidP="003E2DB9">
      <w:pPr>
        <w:pStyle w:val="BodyText"/>
        <w:spacing w:line="252" w:lineRule="auto"/>
        <w:ind w:firstLine="6"/>
        <w:rPr>
          <w:rFonts w:ascii="Arial" w:hAnsi="Arial" w:cs="Arial"/>
          <w:color w:val="282828"/>
          <w:w w:val="105"/>
          <w:sz w:val="24"/>
          <w:szCs w:val="24"/>
        </w:rPr>
      </w:pPr>
    </w:p>
    <w:p w14:paraId="2033976E" w14:textId="77777777" w:rsidR="003E2DB9" w:rsidRDefault="003E2DB9" w:rsidP="003E2DB9">
      <w:pPr>
        <w:pStyle w:val="BodyText"/>
        <w:spacing w:line="252" w:lineRule="auto"/>
        <w:ind w:firstLine="6"/>
        <w:rPr>
          <w:rFonts w:ascii="Arial" w:hAnsi="Arial" w:cs="Arial"/>
          <w:color w:val="282828"/>
          <w:w w:val="105"/>
          <w:sz w:val="24"/>
          <w:szCs w:val="24"/>
        </w:rPr>
      </w:pPr>
    </w:p>
    <w:p w14:paraId="5329AB4A" w14:textId="77777777" w:rsidR="003E2DB9" w:rsidRDefault="003E2DB9" w:rsidP="003E2DB9">
      <w:pPr>
        <w:pStyle w:val="BodyText"/>
        <w:spacing w:line="252" w:lineRule="auto"/>
        <w:ind w:firstLine="6"/>
        <w:rPr>
          <w:rFonts w:ascii="Arial" w:hAnsi="Arial" w:cs="Arial"/>
          <w:color w:val="282828"/>
          <w:w w:val="105"/>
          <w:sz w:val="24"/>
          <w:szCs w:val="24"/>
        </w:rPr>
      </w:pPr>
    </w:p>
    <w:p w14:paraId="235D0A4C" w14:textId="606BFE2B" w:rsidR="003E2DB9" w:rsidRDefault="003E2DB9" w:rsidP="003E2DB9">
      <w:pPr>
        <w:pStyle w:val="BodyText"/>
        <w:spacing w:line="252" w:lineRule="auto"/>
        <w:ind w:firstLine="6"/>
        <w:rPr>
          <w:rFonts w:ascii="Arial" w:hAnsi="Arial" w:cs="Arial"/>
          <w:color w:val="282828"/>
          <w:w w:val="105"/>
          <w:sz w:val="24"/>
          <w:szCs w:val="24"/>
        </w:rPr>
      </w:pPr>
      <w:r>
        <w:rPr>
          <w:rFonts w:ascii="Arial" w:hAnsi="Arial" w:cs="Arial"/>
          <w:color w:val="282828"/>
          <w:w w:val="105"/>
          <w:sz w:val="24"/>
          <w:szCs w:val="24"/>
        </w:rPr>
        <w:t>______________________________</w:t>
      </w:r>
      <w:r>
        <w:rPr>
          <w:rFonts w:ascii="Arial" w:hAnsi="Arial" w:cs="Arial"/>
          <w:color w:val="282828"/>
          <w:w w:val="105"/>
          <w:sz w:val="24"/>
          <w:szCs w:val="24"/>
        </w:rPr>
        <w:tab/>
      </w:r>
      <w:r>
        <w:rPr>
          <w:rFonts w:ascii="Arial" w:hAnsi="Arial" w:cs="Arial"/>
          <w:color w:val="282828"/>
          <w:w w:val="105"/>
          <w:sz w:val="24"/>
          <w:szCs w:val="24"/>
        </w:rPr>
        <w:tab/>
        <w:t>______________________________</w:t>
      </w:r>
    </w:p>
    <w:p w14:paraId="43590216" w14:textId="0F54703B" w:rsidR="003E2DB9" w:rsidRPr="001375F7" w:rsidRDefault="003E2DB9" w:rsidP="003E2DB9">
      <w:pPr>
        <w:pStyle w:val="BodyText"/>
        <w:spacing w:line="252" w:lineRule="auto"/>
        <w:ind w:firstLine="6"/>
        <w:rPr>
          <w:rFonts w:ascii="Arial" w:hAnsi="Arial" w:cs="Arial"/>
          <w:sz w:val="24"/>
          <w:szCs w:val="24"/>
        </w:rPr>
      </w:pPr>
      <w:r>
        <w:rPr>
          <w:rFonts w:ascii="Arial" w:hAnsi="Arial" w:cs="Arial"/>
          <w:color w:val="282828"/>
          <w:w w:val="105"/>
          <w:sz w:val="24"/>
          <w:szCs w:val="24"/>
        </w:rPr>
        <w:t>Heidi Nederhoff, Chairperson</w:t>
      </w:r>
      <w:r>
        <w:rPr>
          <w:rFonts w:ascii="Arial" w:hAnsi="Arial" w:cs="Arial"/>
          <w:color w:val="282828"/>
          <w:w w:val="105"/>
          <w:sz w:val="24"/>
          <w:szCs w:val="24"/>
        </w:rPr>
        <w:tab/>
      </w:r>
      <w:r>
        <w:rPr>
          <w:rFonts w:ascii="Arial" w:hAnsi="Arial" w:cs="Arial"/>
          <w:color w:val="282828"/>
          <w:w w:val="105"/>
          <w:sz w:val="24"/>
          <w:szCs w:val="24"/>
        </w:rPr>
        <w:tab/>
      </w:r>
      <w:r>
        <w:rPr>
          <w:rFonts w:ascii="Arial" w:hAnsi="Arial" w:cs="Arial"/>
          <w:color w:val="282828"/>
          <w:w w:val="105"/>
          <w:sz w:val="24"/>
          <w:szCs w:val="24"/>
        </w:rPr>
        <w:tab/>
        <w:t>Alan T. Tscherter, County Auditor</w:t>
      </w:r>
    </w:p>
    <w:p w14:paraId="2E8E1A71" w14:textId="0557F17A" w:rsidR="001375F7" w:rsidRPr="001375F7" w:rsidRDefault="001375F7" w:rsidP="003E2DB9">
      <w:pPr>
        <w:spacing w:after="0"/>
      </w:pPr>
    </w:p>
    <w:sectPr w:rsidR="001375F7" w:rsidRPr="00137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F6"/>
    <w:rsid w:val="00081959"/>
    <w:rsid w:val="001375F7"/>
    <w:rsid w:val="0030052C"/>
    <w:rsid w:val="003E2DB9"/>
    <w:rsid w:val="005744F0"/>
    <w:rsid w:val="005A75AF"/>
    <w:rsid w:val="00764BE6"/>
    <w:rsid w:val="008F46E6"/>
    <w:rsid w:val="00915511"/>
    <w:rsid w:val="00B90D01"/>
    <w:rsid w:val="00C06CF6"/>
    <w:rsid w:val="00DA3E7D"/>
    <w:rsid w:val="00F81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F1895"/>
  <w15:chartTrackingRefBased/>
  <w15:docId w15:val="{C311BB95-1DE8-4982-84C8-D90B31D3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CF6"/>
    <w:pPr>
      <w:spacing w:line="259" w:lineRule="auto"/>
    </w:pPr>
    <w:rPr>
      <w:sz w:val="22"/>
      <w:szCs w:val="22"/>
    </w:rPr>
  </w:style>
  <w:style w:type="paragraph" w:styleId="Heading1">
    <w:name w:val="heading 1"/>
    <w:basedOn w:val="Normal"/>
    <w:next w:val="Normal"/>
    <w:link w:val="Heading1Char"/>
    <w:uiPriority w:val="9"/>
    <w:qFormat/>
    <w:rsid w:val="00C06CF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6CF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6CF6"/>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6CF6"/>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06CF6"/>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06CF6"/>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06CF6"/>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06CF6"/>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06CF6"/>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C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6C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6C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6C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6C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6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CF6"/>
    <w:rPr>
      <w:rFonts w:eastAsiaTheme="majorEastAsia" w:cstheme="majorBidi"/>
      <w:color w:val="272727" w:themeColor="text1" w:themeTint="D8"/>
    </w:rPr>
  </w:style>
  <w:style w:type="paragraph" w:styleId="Title">
    <w:name w:val="Title"/>
    <w:basedOn w:val="Normal"/>
    <w:next w:val="Normal"/>
    <w:link w:val="TitleChar"/>
    <w:uiPriority w:val="10"/>
    <w:qFormat/>
    <w:rsid w:val="00C06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CF6"/>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CF6"/>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06CF6"/>
    <w:rPr>
      <w:i/>
      <w:iCs/>
      <w:color w:val="404040" w:themeColor="text1" w:themeTint="BF"/>
    </w:rPr>
  </w:style>
  <w:style w:type="paragraph" w:styleId="ListParagraph">
    <w:name w:val="List Paragraph"/>
    <w:basedOn w:val="Normal"/>
    <w:uiPriority w:val="34"/>
    <w:qFormat/>
    <w:rsid w:val="00C06CF6"/>
    <w:pPr>
      <w:spacing w:line="278" w:lineRule="auto"/>
      <w:ind w:left="720"/>
      <w:contextualSpacing/>
    </w:pPr>
    <w:rPr>
      <w:sz w:val="24"/>
      <w:szCs w:val="24"/>
    </w:rPr>
  </w:style>
  <w:style w:type="character" w:styleId="IntenseEmphasis">
    <w:name w:val="Intense Emphasis"/>
    <w:basedOn w:val="DefaultParagraphFont"/>
    <w:uiPriority w:val="21"/>
    <w:qFormat/>
    <w:rsid w:val="00C06CF6"/>
    <w:rPr>
      <w:i/>
      <w:iCs/>
      <w:color w:val="0F4761" w:themeColor="accent1" w:themeShade="BF"/>
    </w:rPr>
  </w:style>
  <w:style w:type="paragraph" w:styleId="IntenseQuote">
    <w:name w:val="Intense Quote"/>
    <w:basedOn w:val="Normal"/>
    <w:next w:val="Normal"/>
    <w:link w:val="IntenseQuoteChar"/>
    <w:uiPriority w:val="30"/>
    <w:qFormat/>
    <w:rsid w:val="00C06CF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C06CF6"/>
    <w:rPr>
      <w:i/>
      <w:iCs/>
      <w:color w:val="0F4761" w:themeColor="accent1" w:themeShade="BF"/>
    </w:rPr>
  </w:style>
  <w:style w:type="character" w:styleId="IntenseReference">
    <w:name w:val="Intense Reference"/>
    <w:basedOn w:val="DefaultParagraphFont"/>
    <w:uiPriority w:val="32"/>
    <w:qFormat/>
    <w:rsid w:val="00C06CF6"/>
    <w:rPr>
      <w:b/>
      <w:bCs/>
      <w:smallCaps/>
      <w:color w:val="0F4761" w:themeColor="accent1" w:themeShade="BF"/>
      <w:spacing w:val="5"/>
    </w:rPr>
  </w:style>
  <w:style w:type="paragraph" w:styleId="BodyText">
    <w:name w:val="Body Text"/>
    <w:basedOn w:val="Normal"/>
    <w:link w:val="BodyTextChar"/>
    <w:uiPriority w:val="1"/>
    <w:qFormat/>
    <w:rsid w:val="001375F7"/>
    <w:pPr>
      <w:widowControl w:val="0"/>
      <w:autoSpaceDE w:val="0"/>
      <w:autoSpaceDN w:val="0"/>
      <w:spacing w:after="0" w:line="240" w:lineRule="auto"/>
    </w:pPr>
    <w:rPr>
      <w:rFonts w:ascii="Times New Roman" w:eastAsia="Times New Roman" w:hAnsi="Times New Roman" w:cs="Times New Roman"/>
      <w:kern w:val="0"/>
      <w:sz w:val="23"/>
      <w:szCs w:val="23"/>
      <w14:ligatures w14:val="none"/>
    </w:rPr>
  </w:style>
  <w:style w:type="character" w:customStyle="1" w:styleId="BodyTextChar">
    <w:name w:val="Body Text Char"/>
    <w:basedOn w:val="DefaultParagraphFont"/>
    <w:link w:val="BodyText"/>
    <w:uiPriority w:val="1"/>
    <w:rsid w:val="001375F7"/>
    <w:rPr>
      <w:rFonts w:ascii="Times New Roman" w:eastAsia="Times New Roman" w:hAnsi="Times New Roman" w:cs="Times New Roman"/>
      <w:kern w:val="0"/>
      <w:sz w:val="23"/>
      <w:szCs w:val="23"/>
      <w14:ligatures w14:val="none"/>
    </w:rPr>
  </w:style>
  <w:style w:type="paragraph" w:customStyle="1" w:styleId="TableParagraph">
    <w:name w:val="Table Paragraph"/>
    <w:basedOn w:val="Normal"/>
    <w:uiPriority w:val="1"/>
    <w:qFormat/>
    <w:rsid w:val="001375F7"/>
    <w:pPr>
      <w:widowControl w:val="0"/>
      <w:autoSpaceDE w:val="0"/>
      <w:autoSpaceDN w:val="0"/>
      <w:spacing w:after="0" w:line="249" w:lineRule="exact"/>
      <w:jc w:val="right"/>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Tscherter</dc:creator>
  <cp:keywords/>
  <dc:description/>
  <cp:lastModifiedBy>Alan Tscherter</cp:lastModifiedBy>
  <cp:revision>5</cp:revision>
  <dcterms:created xsi:type="dcterms:W3CDTF">2025-03-31T16:50:00Z</dcterms:created>
  <dcterms:modified xsi:type="dcterms:W3CDTF">2025-03-31T17:53:00Z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2025-03-31T17:18:46Z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04905cb6-9b5b-4486-b6d6-7e123aa4b698</vt:lpwstr>
  </property>
  <property fmtid="{D5CDD505-2E9C-101B-9397-08002B2CF9AE}" pid="7" name="MSIP_Label_defa4170-0d19-0005-0004-bc88714345d2_ActionId">
    <vt:lpwstr>c308dd40-ffb2-432e-a917-61662090fd3f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