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D6" w:rsidRDefault="000D5573">
      <w:pPr>
        <w:spacing w:after="0" w:line="259" w:lineRule="auto"/>
        <w:ind w:left="0" w:right="0" w:firstLine="0"/>
      </w:pPr>
      <w:bookmarkStart w:id="0" w:name="_GoBack"/>
      <w:bookmarkEnd w:id="0"/>
      <w:r>
        <w:rPr>
          <w:b/>
          <w:color w:val="136191"/>
          <w:sz w:val="38"/>
        </w:rPr>
        <w:t>Grand Rapids Economic Forecast 20</w:t>
      </w:r>
      <w:r w:rsidR="00DC2A97">
        <w:rPr>
          <w:b/>
          <w:color w:val="136191"/>
          <w:sz w:val="38"/>
        </w:rPr>
        <w:t>20</w:t>
      </w:r>
    </w:p>
    <w:p w:rsidR="00616DD6" w:rsidRDefault="000D5573">
      <w:pPr>
        <w:spacing w:after="0" w:line="259" w:lineRule="auto"/>
        <w:ind w:left="-5" w:right="0"/>
      </w:pPr>
      <w:r>
        <w:rPr>
          <w:b/>
          <w:sz w:val="20"/>
        </w:rPr>
        <w:t>Paul Isely, Ph.D, Seidman College of Business</w:t>
      </w:r>
    </w:p>
    <w:p w:rsidR="004A7292" w:rsidRDefault="004A7292" w:rsidP="00ED4F8F">
      <w:pPr>
        <w:shd w:val="clear" w:color="auto" w:fill="DDE6EF"/>
        <w:spacing w:after="16" w:line="259" w:lineRule="auto"/>
        <w:ind w:right="0"/>
      </w:pPr>
      <w:r>
        <w:t>Key Findings:</w:t>
      </w:r>
    </w:p>
    <w:p w:rsidR="00616DD6" w:rsidRDefault="000D5573">
      <w:pPr>
        <w:numPr>
          <w:ilvl w:val="0"/>
          <w:numId w:val="1"/>
        </w:numPr>
        <w:shd w:val="clear" w:color="auto" w:fill="DDE6EF"/>
        <w:spacing w:after="16" w:line="259" w:lineRule="auto"/>
        <w:ind w:right="0" w:hanging="180"/>
      </w:pPr>
      <w:r>
        <w:t xml:space="preserve">The Current Business Confidence Index for </w:t>
      </w:r>
      <w:r w:rsidR="00CE68ED">
        <w:t xml:space="preserve">2020 </w:t>
      </w:r>
      <w:r>
        <w:t xml:space="preserve">is </w:t>
      </w:r>
      <w:r w:rsidR="000A5F44">
        <w:t>72.7</w:t>
      </w:r>
      <w:r>
        <w:t xml:space="preserve">%, </w:t>
      </w:r>
      <w:r w:rsidR="000A5F44">
        <w:t>higher than during the last two recessions</w:t>
      </w:r>
      <w:r>
        <w:t>.</w:t>
      </w:r>
    </w:p>
    <w:p w:rsidR="00616DD6" w:rsidRDefault="000D5573">
      <w:pPr>
        <w:numPr>
          <w:ilvl w:val="0"/>
          <w:numId w:val="1"/>
        </w:numPr>
        <w:shd w:val="clear" w:color="auto" w:fill="DDE6EF"/>
        <w:spacing w:after="16" w:line="259" w:lineRule="auto"/>
        <w:ind w:right="0" w:hanging="180"/>
      </w:pPr>
      <w:r>
        <w:t xml:space="preserve">The Forecast Business Confidence Index for </w:t>
      </w:r>
      <w:r w:rsidR="000A5F44">
        <w:t xml:space="preserve">2021 </w:t>
      </w:r>
      <w:r>
        <w:t xml:space="preserve">is </w:t>
      </w:r>
      <w:r w:rsidR="000A5F44">
        <w:t>73.9</w:t>
      </w:r>
      <w:r>
        <w:t xml:space="preserve">%, </w:t>
      </w:r>
      <w:r w:rsidR="000A5F44">
        <w:t>showing improved expectations for 2021</w:t>
      </w:r>
      <w:r>
        <w:t>.</w:t>
      </w:r>
    </w:p>
    <w:p w:rsidR="00616DD6" w:rsidRDefault="000D5573">
      <w:pPr>
        <w:numPr>
          <w:ilvl w:val="0"/>
          <w:numId w:val="1"/>
        </w:numPr>
        <w:shd w:val="clear" w:color="auto" w:fill="DDE6EF"/>
        <w:spacing w:after="16" w:line="259" w:lineRule="auto"/>
        <w:ind w:right="0" w:hanging="180"/>
      </w:pPr>
      <w:r>
        <w:t xml:space="preserve">Employment is expected to grow by </w:t>
      </w:r>
      <w:r w:rsidR="000A5F44">
        <w:t>2.3</w:t>
      </w:r>
      <w:r>
        <w:t xml:space="preserve">% to </w:t>
      </w:r>
      <w:r w:rsidR="00F13103">
        <w:t>3.9</w:t>
      </w:r>
      <w:r>
        <w:t xml:space="preserve">% in </w:t>
      </w:r>
      <w:r w:rsidR="000A5F44">
        <w:t>2021</w:t>
      </w:r>
      <w:r>
        <w:t xml:space="preserve">, </w:t>
      </w:r>
      <w:r w:rsidR="000A5F44">
        <w:t>showing a strong improvement over the end of 2020</w:t>
      </w:r>
      <w:r>
        <w:t xml:space="preserve">. </w:t>
      </w:r>
    </w:p>
    <w:p w:rsidR="00616DD6" w:rsidRDefault="000D5573">
      <w:pPr>
        <w:numPr>
          <w:ilvl w:val="0"/>
          <w:numId w:val="1"/>
        </w:numPr>
        <w:shd w:val="clear" w:color="auto" w:fill="DDE6EF"/>
        <w:spacing w:after="16" w:line="259" w:lineRule="auto"/>
        <w:ind w:right="0" w:hanging="180"/>
      </w:pPr>
      <w:r>
        <w:t xml:space="preserve">Overall nominal sales are expected to increase by </w:t>
      </w:r>
      <w:r w:rsidR="000A5F44">
        <w:t>1.1</w:t>
      </w:r>
      <w:r>
        <w:t>%-</w:t>
      </w:r>
      <w:r w:rsidR="0087498E">
        <w:t>2</w:t>
      </w:r>
      <w:r>
        <w:t>.</w:t>
      </w:r>
      <w:r w:rsidR="000A5F44">
        <w:t>0</w:t>
      </w:r>
      <w:r>
        <w:t xml:space="preserve">% for </w:t>
      </w:r>
      <w:r w:rsidR="000A5F44">
        <w:t>2021</w:t>
      </w:r>
      <w:r w:rsidR="004A7292">
        <w:t xml:space="preserve"> reflecting slower</w:t>
      </w:r>
      <w:r>
        <w:t xml:space="preserve"> </w:t>
      </w:r>
      <w:r w:rsidR="000A5F44">
        <w:t>growth than was anticipated at the beginning of 2020</w:t>
      </w:r>
      <w:r w:rsidR="004A7292">
        <w:t>.</w:t>
      </w:r>
    </w:p>
    <w:p w:rsidR="00616DD6" w:rsidRDefault="000D5573">
      <w:pPr>
        <w:numPr>
          <w:ilvl w:val="0"/>
          <w:numId w:val="1"/>
        </w:numPr>
        <w:shd w:val="clear" w:color="auto" w:fill="DDE6EF"/>
        <w:spacing w:after="16" w:line="259" w:lineRule="auto"/>
        <w:ind w:right="0" w:hanging="180"/>
      </w:pPr>
      <w:r>
        <w:t xml:space="preserve">Exports are expected to </w:t>
      </w:r>
      <w:r w:rsidR="00F13103">
        <w:t>be flat</w:t>
      </w:r>
      <w:r>
        <w:t xml:space="preserve"> in 20</w:t>
      </w:r>
      <w:r w:rsidR="005508F0">
        <w:t>2</w:t>
      </w:r>
      <w:r w:rsidR="00F13103">
        <w:t>1.</w:t>
      </w:r>
    </w:p>
    <w:p w:rsidR="00616DD6" w:rsidRDefault="000D5573">
      <w:pPr>
        <w:numPr>
          <w:ilvl w:val="0"/>
          <w:numId w:val="1"/>
        </w:numPr>
        <w:shd w:val="clear" w:color="auto" w:fill="DDE6EF"/>
        <w:spacing w:after="16" w:line="259" w:lineRule="auto"/>
        <w:ind w:right="0" w:hanging="180"/>
      </w:pPr>
      <w:r>
        <w:t xml:space="preserve">All indicators signal the West Michigan economy </w:t>
      </w:r>
      <w:r w:rsidR="00F13103">
        <w:t>will show solid growth in 2021 after the 2020 recession</w:t>
      </w:r>
      <w:r>
        <w:t>.</w:t>
      </w:r>
    </w:p>
    <w:p w:rsidR="00616DD6" w:rsidRDefault="00616DD6">
      <w:pPr>
        <w:sectPr w:rsidR="00616DD6">
          <w:headerReference w:type="even" r:id="rId8"/>
          <w:headerReference w:type="default" r:id="rId9"/>
          <w:headerReference w:type="first" r:id="rId10"/>
          <w:pgSz w:w="12240" w:h="15840"/>
          <w:pgMar w:top="990" w:right="1917" w:bottom="1440" w:left="720" w:header="530" w:footer="720" w:gutter="0"/>
          <w:cols w:space="720"/>
        </w:sectPr>
      </w:pPr>
    </w:p>
    <w:p w:rsidR="00616DD6" w:rsidRDefault="00616DD6">
      <w:pPr>
        <w:spacing w:after="0" w:line="259" w:lineRule="auto"/>
        <w:ind w:left="0" w:right="0" w:firstLine="0"/>
      </w:pPr>
    </w:p>
    <w:p w:rsidR="00616DD6" w:rsidRDefault="000D5573">
      <w:pPr>
        <w:pStyle w:val="Heading1"/>
        <w:ind w:left="-5"/>
      </w:pPr>
      <w:r>
        <w:t xml:space="preserve">Introduction </w:t>
      </w:r>
    </w:p>
    <w:p w:rsidR="00616DD6" w:rsidRDefault="000D5573">
      <w:pPr>
        <w:ind w:left="-5"/>
      </w:pPr>
      <w:r>
        <w:t xml:space="preserve">The </w:t>
      </w:r>
      <w:r w:rsidR="004A7292">
        <w:t xml:space="preserve">Confidence Index </w:t>
      </w:r>
      <w:r>
        <w:t xml:space="preserve">survey for the greater Grand Rapids economy (Kent, Ottawa, Muskegon, and Allegan counties or KOMA) was conducted in November and December </w:t>
      </w:r>
      <w:r w:rsidR="00F13103">
        <w:t>2020</w:t>
      </w:r>
      <w:r>
        <w:t xml:space="preserve">. </w:t>
      </w:r>
      <w:r w:rsidR="004A7292">
        <w:t>The</w:t>
      </w:r>
      <w:r>
        <w:t xml:space="preserve"> survey was mailed to the CEOs and business leaders </w:t>
      </w:r>
      <w:r w:rsidR="004A7292">
        <w:t xml:space="preserve">of </w:t>
      </w:r>
      <w:r>
        <w:t>nearly 1,</w:t>
      </w:r>
      <w:r w:rsidR="00F13103">
        <w:t xml:space="preserve">000 </w:t>
      </w:r>
      <w:r>
        <w:t>organizations based on a representative sample</w:t>
      </w:r>
      <w:r w:rsidR="004A7292">
        <w:t xml:space="preserve"> </w:t>
      </w:r>
      <w:r>
        <w:t>reflect</w:t>
      </w:r>
      <w:r w:rsidR="004A7292">
        <w:t>ing</w:t>
      </w:r>
      <w:r>
        <w:t xml:space="preserve"> different sectors of the regional economy and the geographic diversity of the area. </w:t>
      </w:r>
      <w:r w:rsidR="004A7292">
        <w:t>In total</w:t>
      </w:r>
      <w:r>
        <w:t xml:space="preserve">, </w:t>
      </w:r>
      <w:r w:rsidR="00F13103">
        <w:t xml:space="preserve">155 </w:t>
      </w:r>
      <w:r>
        <w:t xml:space="preserve">organizations responded, resulting in a strong response rate of </w:t>
      </w:r>
      <w:r w:rsidR="00F13103">
        <w:t>16.1</w:t>
      </w:r>
      <w:r>
        <w:t xml:space="preserve">%. However, due to the possibility of a non-random response sample, the survey should be interpreted with caution. The survey was timed for the week after the elections to allow respondents time to digest some of the possible implications of the </w:t>
      </w:r>
      <w:r w:rsidR="004A7292">
        <w:t>electoral process</w:t>
      </w:r>
      <w:r>
        <w:t>.</w:t>
      </w:r>
    </w:p>
    <w:p w:rsidR="00616DD6" w:rsidRDefault="000D5573">
      <w:pPr>
        <w:spacing w:after="1364"/>
        <w:ind w:left="-5" w:right="0"/>
      </w:pPr>
      <w:r>
        <w:t>A few methodological considerations are</w:t>
      </w:r>
      <w:r w:rsidR="004A7292">
        <w:t xml:space="preserve"> worth noting</w:t>
      </w:r>
      <w:r>
        <w:t xml:space="preserve">. Although we discuss the survey results in terms of averages, the data are represented in a histogram format to show the entire distribution of responses. The employment, sales, and export numbers are more volatile as raw averages </w:t>
      </w:r>
      <w:r w:rsidR="004A7292">
        <w:t xml:space="preserve">particularly </w:t>
      </w:r>
      <w:r>
        <w:t>when calculated without adjusting for outliers</w:t>
      </w:r>
      <w:r w:rsidR="004A7292">
        <w:t xml:space="preserve"> (</w:t>
      </w:r>
      <w:r>
        <w:t xml:space="preserve">responses beyond </w:t>
      </w:r>
      <w:r w:rsidR="004A7292">
        <w:t xml:space="preserve">plus or minus </w:t>
      </w:r>
      <w:r>
        <w:t>one standard deviation). Since the average of a small sample is significantly influenced by extreme numbers, averages without outliers</w:t>
      </w:r>
      <w:r w:rsidR="004A7292">
        <w:t xml:space="preserve"> are used</w:t>
      </w:r>
      <w:r>
        <w:t xml:space="preserve"> to provide more reliable results. The histograms, however, depict all the available observations to show the broad picture. </w:t>
      </w:r>
    </w:p>
    <w:p w:rsidR="00616DD6" w:rsidRDefault="000D5573">
      <w:pPr>
        <w:pStyle w:val="Heading1"/>
        <w:ind w:left="-5"/>
      </w:pPr>
      <w:r>
        <w:t xml:space="preserve">Confidence Index </w:t>
      </w:r>
    </w:p>
    <w:p w:rsidR="00616DD6" w:rsidRDefault="000D5573">
      <w:pPr>
        <w:ind w:left="-5" w:right="0"/>
      </w:pPr>
      <w:r>
        <w:t>The confidence index has been tracked by researchers at the Seidman College of Business since 1995. A continuing goal of the survey is to track the overall business confidence of the Grand Rapids area</w:t>
      </w:r>
      <w:r w:rsidR="004A7292">
        <w:t xml:space="preserve"> over time</w:t>
      </w:r>
      <w:r>
        <w:t xml:space="preserve">. The confidence index respondents use a scale from zero percent (no confidence at all) to one hundred percent (complete confidence) in response to the question: </w:t>
      </w:r>
      <w:r>
        <w:rPr>
          <w:b/>
        </w:rPr>
        <w:t>How confident are you in the regional economy?</w:t>
      </w:r>
      <w:r>
        <w:t xml:space="preserve"> The average responses for the private sector and the government/non-profit sector over the past </w:t>
      </w:r>
      <w:r w:rsidR="00206D59">
        <w:t xml:space="preserve">20 </w:t>
      </w:r>
      <w:r>
        <w:t xml:space="preserve">years are shown in </w:t>
      </w:r>
      <w:r>
        <w:rPr>
          <w:b/>
        </w:rPr>
        <w:t>Figure 1</w:t>
      </w:r>
      <w:r>
        <w:t>.</w:t>
      </w:r>
    </w:p>
    <w:p w:rsidR="00F13103" w:rsidRDefault="00CB1B6C" w:rsidP="006431E9">
      <w:pPr>
        <w:spacing w:after="0"/>
        <w:ind w:left="-5" w:right="0"/>
      </w:pPr>
      <w:r w:rsidRPr="00377D9D">
        <w:t>Unsurprisingly the confidence index fell over 2020</w:t>
      </w:r>
      <w:r w:rsidR="004A7292">
        <w:t>;</w:t>
      </w:r>
      <w:r w:rsidRPr="00377D9D">
        <w:t xml:space="preserve"> however</w:t>
      </w:r>
      <w:r w:rsidR="004A7292">
        <w:t>,</w:t>
      </w:r>
      <w:r w:rsidRPr="00377D9D">
        <w:t xml:space="preserve"> s</w:t>
      </w:r>
      <w:r w:rsidR="00206D59" w:rsidRPr="00377D9D">
        <w:t xml:space="preserve">urprisingly </w:t>
      </w:r>
      <w:r w:rsidRPr="00377D9D">
        <w:t xml:space="preserve">the confidence index was well above what was seen in the recessions that started in 2001 or 2007.  Part of this might be survivor bias as many service businesses were lost in 2020.  Adjusting the confidence index to assume the same response rate as last year would result in 10 more responses.  If these were all assumed to have gone out of business and have a confidence of zero, the index is still above the levels seen in the last 2 recessions. </w:t>
      </w:r>
      <w:r w:rsidR="00E3589F" w:rsidRPr="00377D9D">
        <w:t xml:space="preserve"> This suggests that businesses that responded</w:t>
      </w:r>
      <w:r w:rsidR="004A7292">
        <w:t>,</w:t>
      </w:r>
      <w:r w:rsidR="00E3589F" w:rsidRPr="00377D9D">
        <w:t xml:space="preserve"> view this as a </w:t>
      </w:r>
      <w:r w:rsidR="00E3589F" w:rsidRPr="00377D9D">
        <w:t>transitory issue and not a fundamental change in the economy.  The result is a confidence level similar to the 2003-2005 timeframe between the last recessions.</w:t>
      </w:r>
      <w:r w:rsidRPr="00377D9D">
        <w:t xml:space="preserve"> </w:t>
      </w:r>
    </w:p>
    <w:p w:rsidR="00F13103" w:rsidRDefault="00F13103" w:rsidP="006431E9">
      <w:pPr>
        <w:spacing w:after="0"/>
        <w:ind w:left="-5" w:right="0"/>
      </w:pPr>
      <w:r>
        <w:rPr>
          <w:noProof/>
        </w:rPr>
        <w:drawing>
          <wp:inline distT="0" distB="0" distL="0" distR="0" wp14:anchorId="39AA83D7" wp14:editId="5D909875">
            <wp:extent cx="3312160" cy="2402205"/>
            <wp:effectExtent l="0" t="0" r="15240" b="10795"/>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5316" w:rsidRDefault="00735316">
      <w:pPr>
        <w:pStyle w:val="Heading1"/>
        <w:ind w:left="-5"/>
      </w:pPr>
    </w:p>
    <w:p w:rsidR="00E3589F" w:rsidRPr="00E3589F" w:rsidRDefault="00E3589F" w:rsidP="00377D9D">
      <w:r>
        <w:t xml:space="preserve">However, the level of confidence in the economy </w:t>
      </w:r>
      <w:r w:rsidR="004A7292">
        <w:t>varies by</w:t>
      </w:r>
      <w:r>
        <w:t xml:space="preserve"> industry</w:t>
      </w:r>
      <w:r w:rsidR="004A7292">
        <w:t xml:space="preserve"> as</w:t>
      </w:r>
      <w:r>
        <w:t xml:space="preserve"> shown in </w:t>
      </w:r>
      <w:r w:rsidR="004A7292" w:rsidRPr="00ED4F8F">
        <w:rPr>
          <w:b/>
          <w:bCs/>
        </w:rPr>
        <w:t>F</w:t>
      </w:r>
      <w:r w:rsidRPr="00ED4F8F">
        <w:rPr>
          <w:b/>
          <w:bCs/>
        </w:rPr>
        <w:t>igure 2</w:t>
      </w:r>
      <w:r>
        <w:t xml:space="preserve">.  </w:t>
      </w:r>
      <w:r w:rsidR="007D6469">
        <w:t>Wholesale/r</w:t>
      </w:r>
      <w:r>
        <w:t xml:space="preserve">etail trade and </w:t>
      </w:r>
      <w:r w:rsidR="004A7292">
        <w:t>the r</w:t>
      </w:r>
      <w:r>
        <w:t>estaurant</w:t>
      </w:r>
      <w:r w:rsidR="004A7292">
        <w:t xml:space="preserve"> industr</w:t>
      </w:r>
      <w:r w:rsidR="007D6469">
        <w:t>ies</w:t>
      </w:r>
      <w:r>
        <w:t xml:space="preserve"> show a lower confidence index</w:t>
      </w:r>
      <w:r w:rsidR="004A7292">
        <w:t xml:space="preserve"> at the end of 2020 </w:t>
      </w:r>
      <w:r>
        <w:t>similar to what was seen in 2007 at the start of the last recession</w:t>
      </w:r>
      <w:r w:rsidR="004A7292">
        <w:t>. W</w:t>
      </w:r>
      <w:r>
        <w:t xml:space="preserve">hereas </w:t>
      </w:r>
      <w:r w:rsidR="004A7292">
        <w:t xml:space="preserve">the </w:t>
      </w:r>
      <w:r>
        <w:t xml:space="preserve">construction </w:t>
      </w:r>
      <w:r w:rsidR="004A7292">
        <w:t xml:space="preserve">industry </w:t>
      </w:r>
      <w:r>
        <w:t xml:space="preserve">shows a confidence level close to the 2017-19 peak.  </w:t>
      </w:r>
      <w:r w:rsidR="004A7292">
        <w:t>Looking ahead to 2021, t</w:t>
      </w:r>
      <w:r>
        <w:t>he restaurant industry shows an expectation of substantial improvement over 202</w:t>
      </w:r>
      <w:r w:rsidR="004A7292">
        <w:t>0</w:t>
      </w:r>
      <w:r>
        <w:t>, but</w:t>
      </w:r>
      <w:r w:rsidR="004A7292">
        <w:t xml:space="preserve"> expectations for the </w:t>
      </w:r>
      <w:r>
        <w:t>construction</w:t>
      </w:r>
      <w:r w:rsidR="004A7292">
        <w:t xml:space="preserve"> industry </w:t>
      </w:r>
      <w:r>
        <w:t xml:space="preserve">are more muted.  </w:t>
      </w:r>
    </w:p>
    <w:p w:rsidR="00735316" w:rsidRDefault="00E3589F">
      <w:pPr>
        <w:pStyle w:val="Heading1"/>
        <w:ind w:left="-5"/>
      </w:pPr>
      <w:r>
        <w:rPr>
          <w:noProof/>
        </w:rPr>
        <w:lastRenderedPageBreak/>
        <w:drawing>
          <wp:inline distT="0" distB="0" distL="0" distR="0" wp14:anchorId="0F35BA0A" wp14:editId="1B2EDCF0">
            <wp:extent cx="3312160" cy="2402205"/>
            <wp:effectExtent l="0" t="0" r="15240" b="1079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3CCA3-86F3-4EDE-BF44-E92DACD63C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6DD6" w:rsidRDefault="000D5573">
      <w:pPr>
        <w:pStyle w:val="Heading1"/>
        <w:ind w:left="-5"/>
      </w:pPr>
      <w:r>
        <w:t xml:space="preserve">Employment </w:t>
      </w:r>
    </w:p>
    <w:p w:rsidR="00616DD6" w:rsidRDefault="000D5573">
      <w:pPr>
        <w:ind w:left="-5" w:right="0"/>
      </w:pPr>
      <w:r>
        <w:t xml:space="preserve">For </w:t>
      </w:r>
      <w:r w:rsidR="00377D9D">
        <w:t>2020</w:t>
      </w:r>
      <w:r>
        <w:t xml:space="preserve">, employment for KOMA was projected to grow at an average of </w:t>
      </w:r>
      <w:r w:rsidR="00377D9D">
        <w:t>0.3</w:t>
      </w:r>
      <w:r>
        <w:t xml:space="preserve"> – </w:t>
      </w:r>
      <w:r w:rsidR="00377D9D">
        <w:t>0.7</w:t>
      </w:r>
      <w:r>
        <w:t xml:space="preserve">%. </w:t>
      </w:r>
      <w:r w:rsidR="00377D9D">
        <w:t>The black swan event of COVID-19 caused West Michigan to miss this mark.  T</w:t>
      </w:r>
      <w:r>
        <w:t>he numbers from the</w:t>
      </w:r>
      <w:r w:rsidR="004A7292">
        <w:t xml:space="preserve"> Bureau of Labor Statistics’</w:t>
      </w:r>
      <w:r>
        <w:t xml:space="preserve"> Current </w:t>
      </w:r>
      <w:r>
        <w:t xml:space="preserve">Employment Survey indicate that employment in the Grand Rapids and Muskegon Metropolitan Areas (which is made up of Barry, Kent, Montcalm, Muskegon, and Ottawa counties) </w:t>
      </w:r>
      <w:r w:rsidR="00377D9D">
        <w:t>f</w:t>
      </w:r>
      <w:r w:rsidR="007D6469">
        <w:t>e</w:t>
      </w:r>
      <w:r w:rsidR="004A7292">
        <w:t>ll</w:t>
      </w:r>
      <w:r w:rsidR="00377D9D">
        <w:t xml:space="preserve"> </w:t>
      </w:r>
      <w:r>
        <w:t xml:space="preserve">by </w:t>
      </w:r>
      <w:r w:rsidR="004A7292">
        <w:t xml:space="preserve">an annualized rate of </w:t>
      </w:r>
      <w:r>
        <w:t xml:space="preserve">approximately </w:t>
      </w:r>
      <w:r w:rsidR="00377D9D">
        <w:t>8</w:t>
      </w:r>
      <w:r>
        <w:t xml:space="preserve">% through </w:t>
      </w:r>
      <w:r w:rsidR="00735316">
        <w:t>November</w:t>
      </w:r>
      <w:r>
        <w:t xml:space="preserve">. </w:t>
      </w:r>
      <w:r w:rsidR="004A7292">
        <w:t>T</w:t>
      </w:r>
      <w:r w:rsidR="00382077">
        <w:t xml:space="preserve">he unemployment rate for the area </w:t>
      </w:r>
      <w:r w:rsidR="004A7292">
        <w:t>was</w:t>
      </w:r>
      <w:r w:rsidR="00382077">
        <w:t xml:space="preserve"> only 4% in November as the labor force</w:t>
      </w:r>
      <w:r w:rsidR="004A7292">
        <w:t xml:space="preserve"> </w:t>
      </w:r>
      <w:r w:rsidR="00382077">
        <w:t>decreased by 1%</w:t>
      </w:r>
      <w:r w:rsidR="004A7292">
        <w:t xml:space="preserve"> with</w:t>
      </w:r>
      <w:r w:rsidR="00382077">
        <w:t xml:space="preserve"> early retirements and parents with childcare duties leaving the workforce as a result of COVID</w:t>
      </w:r>
      <w:r w:rsidR="004A7292">
        <w:t>-19 as contributing factors</w:t>
      </w:r>
      <w:r w:rsidR="00382077">
        <w:t xml:space="preserve">.  The result is a continued lack of talent to hire in many industries.  </w:t>
      </w:r>
    </w:p>
    <w:p w:rsidR="00616DD6" w:rsidRDefault="004A7292">
      <w:pPr>
        <w:spacing w:after="223" w:line="259" w:lineRule="auto"/>
        <w:ind w:left="0" w:right="0" w:firstLine="0"/>
      </w:pPr>
      <w:r>
        <w:t>R</w:t>
      </w:r>
      <w:r w:rsidR="000D5573">
        <w:t xml:space="preserve">esponses to the question: </w:t>
      </w:r>
      <w:r w:rsidR="000D5573" w:rsidRPr="009F5D62">
        <w:rPr>
          <w:b/>
        </w:rPr>
        <w:t xml:space="preserve">What percent change do you expect in employment for the four counties in </w:t>
      </w:r>
      <w:r w:rsidR="00382077" w:rsidRPr="009F5D62">
        <w:rPr>
          <w:b/>
        </w:rPr>
        <w:t>2021</w:t>
      </w:r>
      <w:r w:rsidR="000D5573" w:rsidRPr="009F5D62">
        <w:rPr>
          <w:b/>
        </w:rPr>
        <w:t>?</w:t>
      </w:r>
      <w:r w:rsidR="000D5573">
        <w:rPr>
          <w:i/>
        </w:rPr>
        <w:t xml:space="preserve"> </w:t>
      </w:r>
      <w:r w:rsidR="000D5573">
        <w:t xml:space="preserve">are shown in </w:t>
      </w:r>
      <w:r w:rsidR="000D5573">
        <w:rPr>
          <w:b/>
        </w:rPr>
        <w:t xml:space="preserve">Figure </w:t>
      </w:r>
      <w:r w:rsidR="00382077">
        <w:rPr>
          <w:b/>
        </w:rPr>
        <w:t>3</w:t>
      </w:r>
      <w:r w:rsidR="000D5573">
        <w:t>.</w:t>
      </w:r>
    </w:p>
    <w:p w:rsidR="00616DD6" w:rsidRDefault="000D5573">
      <w:pPr>
        <w:ind w:left="-5" w:right="0"/>
      </w:pPr>
      <w:r>
        <w:t>Average employment in the KOMA region during 20</w:t>
      </w:r>
      <w:r w:rsidR="00735316">
        <w:t>2</w:t>
      </w:r>
      <w:r w:rsidR="004A7292">
        <w:t>1</w:t>
      </w:r>
      <w:r>
        <w:t xml:space="preserve"> is expected to grow at </w:t>
      </w:r>
      <w:r w:rsidR="00382077">
        <w:t>3.2</w:t>
      </w:r>
      <w:r>
        <w:t xml:space="preserve">%, </w:t>
      </w:r>
      <w:r w:rsidR="00382077">
        <w:t>provided there are enough people willing to work</w:t>
      </w:r>
      <w:r>
        <w:t>.</w:t>
      </w:r>
      <w:r w:rsidR="00382077">
        <w:t xml:space="preserve">  </w:t>
      </w:r>
      <w:r w:rsidR="004A7292">
        <w:t xml:space="preserve">This average conceals some variance in responses with </w:t>
      </w:r>
      <w:r w:rsidR="00382077">
        <w:t xml:space="preserve">48% of firms </w:t>
      </w:r>
      <w:r w:rsidR="004A7292">
        <w:t>expecting</w:t>
      </w:r>
      <w:r w:rsidR="00382077">
        <w:t xml:space="preserve"> employment growth above 3%</w:t>
      </w:r>
      <w:r w:rsidR="004A7292">
        <w:t xml:space="preserve"> contrasted to</w:t>
      </w:r>
      <w:r w:rsidR="00382077">
        <w:t xml:space="preserve"> 22% of firms </w:t>
      </w:r>
      <w:r w:rsidR="004A7292">
        <w:t>predicting</w:t>
      </w:r>
      <w:r w:rsidR="00382077">
        <w:t xml:space="preserve"> employment shrink</w:t>
      </w:r>
      <w:r w:rsidR="004A7292">
        <w:t>age</w:t>
      </w:r>
      <w:r w:rsidR="00382077">
        <w:t xml:space="preserve">.  </w:t>
      </w:r>
      <w:r w:rsidR="00041930">
        <w:t xml:space="preserve">This continues the story of businesses seen in the confidence numbers where some industries have had greater negative effects. </w:t>
      </w:r>
      <w:r w:rsidR="00382077">
        <w:t xml:space="preserve">This is </w:t>
      </w:r>
      <w:r w:rsidR="00041930">
        <w:t xml:space="preserve">also </w:t>
      </w:r>
      <w:r w:rsidR="00382077">
        <w:t xml:space="preserve">consistent with the 42% of firms that see themselves returning to </w:t>
      </w:r>
      <w:r w:rsidR="004A7292">
        <w:t>p</w:t>
      </w:r>
      <w:r w:rsidR="00382077">
        <w:t>re-COVID sales by July 2021 and the 22% of firms that do not see themselves reaching that point during 2021</w:t>
      </w:r>
      <w:r w:rsidR="00041930">
        <w:t>.</w:t>
      </w:r>
    </w:p>
    <w:p w:rsidR="00616DD6" w:rsidRDefault="00616DD6">
      <w:pPr>
        <w:sectPr w:rsidR="00616DD6">
          <w:type w:val="continuous"/>
          <w:pgSz w:w="12240" w:h="15840"/>
          <w:pgMar w:top="1440" w:right="749" w:bottom="1440" w:left="706" w:header="720" w:footer="720" w:gutter="0"/>
          <w:cols w:num="2" w:space="353"/>
        </w:sectPr>
      </w:pPr>
    </w:p>
    <w:p w:rsidR="00616DD6" w:rsidRDefault="00616DD6">
      <w:pPr>
        <w:spacing w:after="481" w:line="259" w:lineRule="auto"/>
        <w:ind w:left="-705" w:right="-735" w:firstLine="0"/>
      </w:pPr>
    </w:p>
    <w:p w:rsidR="00616DD6" w:rsidRDefault="00377D9D">
      <w:pPr>
        <w:spacing w:after="651" w:line="259" w:lineRule="auto"/>
        <w:ind w:left="-715" w:right="-725" w:firstLine="0"/>
      </w:pPr>
      <w:r>
        <w:rPr>
          <w:noProof/>
        </w:rPr>
        <w:drawing>
          <wp:inline distT="0" distB="0" distL="0" distR="0" wp14:anchorId="6FDEABB7" wp14:editId="4C6E8517">
            <wp:extent cx="4991100" cy="3381375"/>
            <wp:effectExtent l="0" t="0" r="12700" b="9525"/>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6DD6" w:rsidRDefault="000D5573">
      <w:pPr>
        <w:tabs>
          <w:tab w:val="center" w:pos="8775"/>
          <w:tab w:val="right" w:pos="10101"/>
        </w:tabs>
        <w:spacing w:after="0" w:line="259" w:lineRule="auto"/>
        <w:ind w:left="0" w:right="-741" w:firstLine="0"/>
      </w:pPr>
      <w:r>
        <w:rPr>
          <w:color w:val="000000"/>
          <w:sz w:val="22"/>
        </w:rPr>
        <w:tab/>
      </w:r>
      <w:r>
        <w:rPr>
          <w:b/>
          <w:sz w:val="16"/>
        </w:rPr>
        <w:t xml:space="preserve"> </w:t>
      </w:r>
    </w:p>
    <w:p w:rsidR="00616DD6" w:rsidRDefault="00616DD6">
      <w:pPr>
        <w:sectPr w:rsidR="00616DD6">
          <w:type w:val="continuous"/>
          <w:pgSz w:w="12240" w:h="15840"/>
          <w:pgMar w:top="1090" w:right="1440" w:bottom="1191" w:left="1440" w:header="720" w:footer="720" w:gutter="0"/>
          <w:cols w:space="720"/>
        </w:sectPr>
      </w:pPr>
    </w:p>
    <w:p w:rsidR="00041930" w:rsidRDefault="00041930">
      <w:pPr>
        <w:spacing w:after="160" w:line="259" w:lineRule="auto"/>
        <w:ind w:left="0" w:right="0" w:firstLine="0"/>
        <w:rPr>
          <w:b/>
          <w:color w:val="136191"/>
          <w:sz w:val="22"/>
        </w:rPr>
      </w:pPr>
      <w:r>
        <w:br w:type="page"/>
      </w:r>
    </w:p>
    <w:p w:rsidR="00616DD6" w:rsidRDefault="000D5573">
      <w:pPr>
        <w:pStyle w:val="Heading1"/>
        <w:ind w:left="-5"/>
      </w:pPr>
      <w:r>
        <w:lastRenderedPageBreak/>
        <w:t xml:space="preserve">Sales </w:t>
      </w:r>
    </w:p>
    <w:p w:rsidR="00616DD6" w:rsidRDefault="004A7292" w:rsidP="00ED4F8F">
      <w:pPr>
        <w:spacing w:after="1"/>
        <w:ind w:left="-5" w:right="0"/>
        <w:sectPr w:rsidR="00616DD6">
          <w:type w:val="continuous"/>
          <w:pgSz w:w="12240" w:h="15840"/>
          <w:pgMar w:top="1440" w:right="826" w:bottom="1440" w:left="720" w:header="720" w:footer="720" w:gutter="0"/>
          <w:cols w:num="2" w:space="548"/>
        </w:sectPr>
      </w:pPr>
      <w:r>
        <w:t>The sales related survey question is</w:t>
      </w:r>
      <w:r w:rsidR="000D5573">
        <w:t xml:space="preserve">: </w:t>
      </w:r>
      <w:r w:rsidR="000D5573" w:rsidRPr="009F5D62">
        <w:rPr>
          <w:b/>
        </w:rPr>
        <w:t xml:space="preserve">What percent change in sales do you project for the four counties in </w:t>
      </w:r>
      <w:r w:rsidR="00041930" w:rsidRPr="009F5D62">
        <w:rPr>
          <w:b/>
        </w:rPr>
        <w:t>2021</w:t>
      </w:r>
      <w:r w:rsidR="000D5573" w:rsidRPr="009F5D62">
        <w:rPr>
          <w:b/>
        </w:rPr>
        <w:t>?</w:t>
      </w:r>
      <w:r w:rsidR="000D5573">
        <w:rPr>
          <w:i/>
        </w:rPr>
        <w:t xml:space="preserve"> </w:t>
      </w:r>
      <w:r w:rsidRPr="00ED4F8F">
        <w:rPr>
          <w:iCs/>
        </w:rPr>
        <w:t xml:space="preserve">Results are shown in </w:t>
      </w:r>
      <w:r w:rsidRPr="00ED4F8F">
        <w:rPr>
          <w:b/>
          <w:bCs/>
          <w:iCs/>
        </w:rPr>
        <w:t>Figure 4.</w:t>
      </w:r>
      <w:r>
        <w:rPr>
          <w:i/>
        </w:rPr>
        <w:t xml:space="preserve"> </w:t>
      </w:r>
    </w:p>
    <w:p w:rsidR="00041930" w:rsidRDefault="004A7292" w:rsidP="00041930">
      <w:pPr>
        <w:spacing w:after="1"/>
        <w:ind w:left="-5" w:right="0"/>
      </w:pPr>
      <w:r>
        <w:t>R</w:t>
      </w:r>
      <w:r w:rsidR="00041930">
        <w:t xml:space="preserve">espondents expecting a growth rate above 3% peaked at 42% </w:t>
      </w:r>
      <w:r>
        <w:t>in 20</w:t>
      </w:r>
      <w:r w:rsidR="00ED4F8F">
        <w:t>18</w:t>
      </w:r>
      <w:r>
        <w:t xml:space="preserve">. </w:t>
      </w:r>
      <w:r w:rsidR="00041930">
        <w:t xml:space="preserve"> That percentage had fallen to 21% for 2020</w:t>
      </w:r>
      <w:r>
        <w:t xml:space="preserve"> and</w:t>
      </w:r>
      <w:r w:rsidR="00041930">
        <w:t xml:space="preserve"> 17% for 2021.  The expected sales growth </w:t>
      </w:r>
      <w:r>
        <w:t xml:space="preserve">rate </w:t>
      </w:r>
      <w:r w:rsidR="00041930">
        <w:t>in 2021 is 1.5%. This is another indication firms expect 2021 to be a year of healing</w:t>
      </w:r>
      <w:r>
        <w:t>.</w:t>
      </w:r>
    </w:p>
    <w:p w:rsidR="00DB4811" w:rsidRDefault="00DB4811">
      <w:pPr>
        <w:spacing w:after="0"/>
        <w:ind w:left="-5" w:right="0"/>
      </w:pPr>
    </w:p>
    <w:p w:rsidR="00DB4811" w:rsidRDefault="00DB4811">
      <w:pPr>
        <w:spacing w:after="0"/>
        <w:ind w:left="-5" w:right="0"/>
      </w:pPr>
    </w:p>
    <w:p w:rsidR="00DB4811" w:rsidRDefault="00DB4811">
      <w:pPr>
        <w:spacing w:after="0"/>
        <w:ind w:left="-5" w:right="0"/>
      </w:pPr>
    </w:p>
    <w:p w:rsidR="00DB4811" w:rsidRDefault="00DB4811">
      <w:pPr>
        <w:spacing w:after="0"/>
        <w:ind w:left="-5" w:right="0"/>
      </w:pPr>
    </w:p>
    <w:p w:rsidR="00DB4811" w:rsidRDefault="00041930">
      <w:pPr>
        <w:spacing w:after="0"/>
        <w:ind w:left="-5" w:right="0"/>
      </w:pPr>
      <w:r>
        <w:rPr>
          <w:noProof/>
        </w:rPr>
        <w:drawing>
          <wp:inline distT="0" distB="0" distL="0" distR="0" wp14:anchorId="46F495B4" wp14:editId="301FE5C5">
            <wp:extent cx="3271520" cy="2372995"/>
            <wp:effectExtent l="0" t="0" r="17780" b="14605"/>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4811" w:rsidRDefault="00DB4811">
      <w:pPr>
        <w:spacing w:after="0"/>
        <w:ind w:left="-5" w:right="0"/>
      </w:pPr>
    </w:p>
    <w:p w:rsidR="00DB4811" w:rsidRDefault="00DB4811">
      <w:pPr>
        <w:spacing w:after="0"/>
        <w:ind w:left="-5" w:right="0"/>
      </w:pPr>
    </w:p>
    <w:p w:rsidR="00DB4811" w:rsidRDefault="00DB4811">
      <w:pPr>
        <w:spacing w:after="0"/>
        <w:ind w:left="-5" w:right="0"/>
      </w:pPr>
    </w:p>
    <w:p w:rsidR="00616DD6" w:rsidRDefault="000D5573">
      <w:pPr>
        <w:pStyle w:val="Heading1"/>
        <w:ind w:left="-5"/>
      </w:pPr>
      <w:r>
        <w:t xml:space="preserve">General Outlook </w:t>
      </w:r>
    </w:p>
    <w:p w:rsidR="00616DD6" w:rsidRDefault="004A7292">
      <w:pPr>
        <w:ind w:left="-5" w:right="0"/>
      </w:pPr>
      <w:r>
        <w:t>Multiple economic forecasting s</w:t>
      </w:r>
      <w:r w:rsidR="000D5573">
        <w:t>urveys (</w:t>
      </w:r>
      <w:r w:rsidR="000D5573" w:rsidRPr="00ED4F8F">
        <w:rPr>
          <w:b/>
          <w:bCs/>
        </w:rPr>
        <w:t>Table 1</w:t>
      </w:r>
      <w:r w:rsidR="000D5573">
        <w:t xml:space="preserve">) from late in </w:t>
      </w:r>
      <w:r w:rsidR="00041930">
        <w:t xml:space="preserve">2020 </w:t>
      </w:r>
      <w:r>
        <w:t>predict</w:t>
      </w:r>
      <w:r w:rsidR="000D5573">
        <w:t xml:space="preserve"> economic growth of around </w:t>
      </w:r>
      <w:r w:rsidR="00CC5DC9">
        <w:t>4.0</w:t>
      </w:r>
      <w:r w:rsidR="000D5573">
        <w:t xml:space="preserve">% for </w:t>
      </w:r>
      <w:r>
        <w:t>the year</w:t>
      </w:r>
      <w:r w:rsidR="000D5573">
        <w:t xml:space="preserve">. These surveys also </w:t>
      </w:r>
      <w:r>
        <w:t>establish</w:t>
      </w:r>
      <w:r w:rsidR="000D5573">
        <w:t xml:space="preserve"> expectations for inflation at or </w:t>
      </w:r>
      <w:r w:rsidR="00BC5F2C">
        <w:t>below</w:t>
      </w:r>
      <w:r w:rsidR="000D5573">
        <w:t xml:space="preserve"> the Federal Reserve target of 2%. This </w:t>
      </w:r>
      <w:r w:rsidR="00CC5DC9">
        <w:t>shows the potential for the U</w:t>
      </w:r>
      <w:r>
        <w:t>.</w:t>
      </w:r>
      <w:r w:rsidR="00CC5DC9">
        <w:t>S</w:t>
      </w:r>
      <w:r>
        <w:t>.</w:t>
      </w:r>
      <w:r w:rsidR="00CC5DC9">
        <w:t xml:space="preserve"> economy to return to pre</w:t>
      </w:r>
      <w:r w:rsidR="007D6469">
        <w:t>-pandemic</w:t>
      </w:r>
      <w:r w:rsidR="00CC5DC9">
        <w:t xml:space="preserve"> levels</w:t>
      </w:r>
      <w:r>
        <w:t xml:space="preserve"> </w:t>
      </w:r>
      <w:r w:rsidR="00CC5DC9">
        <w:t>near the end of 2021 or early in 2022</w:t>
      </w:r>
      <w:r>
        <w:t>.</w:t>
      </w:r>
    </w:p>
    <w:p w:rsidR="00616DD6" w:rsidRDefault="000D5573">
      <w:pPr>
        <w:ind w:left="-5" w:right="0"/>
      </w:pPr>
      <w:r>
        <w:t xml:space="preserve">These surveys are consistent with expectations </w:t>
      </w:r>
      <w:r w:rsidR="004A7292">
        <w:t>from</w:t>
      </w:r>
      <w:r>
        <w:t xml:space="preserve"> </w:t>
      </w:r>
      <w:r w:rsidR="004A7292">
        <w:t>the confidence index</w:t>
      </w:r>
      <w:r>
        <w:t xml:space="preserve"> survey </w:t>
      </w:r>
      <w:r w:rsidR="004A7292">
        <w:t xml:space="preserve">suggesting </w:t>
      </w:r>
      <w:r w:rsidR="00CC5DC9">
        <w:t xml:space="preserve">strengthening </w:t>
      </w:r>
      <w:r>
        <w:t>confidence (</w:t>
      </w:r>
      <w:r w:rsidR="00CC5DC9">
        <w:t>73.9</w:t>
      </w:r>
      <w:r>
        <w:t xml:space="preserve">%), </w:t>
      </w:r>
      <w:r w:rsidR="00CC5DC9">
        <w:t xml:space="preserve">strong </w:t>
      </w:r>
      <w:r>
        <w:t>employment growth (</w:t>
      </w:r>
      <w:r w:rsidR="00CC5DC9">
        <w:t>3.2</w:t>
      </w:r>
      <w:r>
        <w:t>%), sales growth (</w:t>
      </w:r>
      <w:r w:rsidR="00CC5DC9">
        <w:t>1.5</w:t>
      </w:r>
      <w:r>
        <w:t xml:space="preserve">%) and </w:t>
      </w:r>
      <w:r w:rsidR="00CC5DC9">
        <w:t xml:space="preserve">stagnant </w:t>
      </w:r>
      <w:r>
        <w:t>export growth (</w:t>
      </w:r>
      <w:r w:rsidR="00CC5DC9">
        <w:t>0.4</w:t>
      </w:r>
      <w:r>
        <w:t xml:space="preserve">%). </w:t>
      </w:r>
      <w:r w:rsidR="00CC5DC9">
        <w:t xml:space="preserve"> Generally, the expectation of growth in West Michigan is a little slower than the U</w:t>
      </w:r>
      <w:r w:rsidR="004A7292">
        <w:t>.</w:t>
      </w:r>
      <w:r w:rsidR="00CC5DC9">
        <w:t>S</w:t>
      </w:r>
      <w:r w:rsidR="004A7292">
        <w:t xml:space="preserve">. as a whole moderated in part due to </w:t>
      </w:r>
      <w:r w:rsidR="00EB20D8">
        <w:t xml:space="preserve">the industry mix </w:t>
      </w:r>
      <w:r w:rsidR="004A7292">
        <w:t xml:space="preserve">within </w:t>
      </w:r>
      <w:r w:rsidR="00EB20D8">
        <w:t>the region</w:t>
      </w:r>
      <w:r w:rsidR="004A7292">
        <w:t>.</w:t>
      </w:r>
    </w:p>
    <w:p w:rsidR="00616DD6" w:rsidRDefault="00EB20D8">
      <w:pPr>
        <w:ind w:left="-5" w:right="0"/>
      </w:pPr>
      <w:r>
        <w:t xml:space="preserve">Over the year </w:t>
      </w:r>
      <w:r w:rsidR="0044152C">
        <w:t xml:space="preserve">following </w:t>
      </w:r>
      <w:r>
        <w:t>COVID</w:t>
      </w:r>
      <w:r w:rsidR="004A7292">
        <w:t>-</w:t>
      </w:r>
      <w:r w:rsidR="0044152C">
        <w:t xml:space="preserve">19’s </w:t>
      </w:r>
      <w:r>
        <w:t xml:space="preserve">first </w:t>
      </w:r>
      <w:r w:rsidR="0044152C">
        <w:t xml:space="preserve">effects on </w:t>
      </w:r>
      <w:r>
        <w:t>the U</w:t>
      </w:r>
      <w:r w:rsidR="004A7292">
        <w:t>.</w:t>
      </w:r>
      <w:r>
        <w:t>S</w:t>
      </w:r>
      <w:r w:rsidR="004A7292">
        <w:t>.</w:t>
      </w:r>
      <w:r>
        <w:t xml:space="preserve"> economy in March of 2020, the </w:t>
      </w:r>
      <w:r w:rsidR="004A7292">
        <w:t>federal</w:t>
      </w:r>
      <w:r>
        <w:t xml:space="preserve"> government </w:t>
      </w:r>
      <w:r w:rsidR="00B14DFF">
        <w:t xml:space="preserve">is </w:t>
      </w:r>
      <w:r>
        <w:t>expected to pump around $3 Trillion into the economy – effectively increasing outlays</w:t>
      </w:r>
      <w:r w:rsidR="00ED4F8F">
        <w:t xml:space="preserve"> by nearly two thirds</w:t>
      </w:r>
      <w:r>
        <w:t>.  This has minimized the negative economic effects of COVID</w:t>
      </w:r>
      <w:r w:rsidR="004A7292">
        <w:t>-</w:t>
      </w:r>
      <w:r>
        <w:t>19 and has set the economy up for a fast re</w:t>
      </w:r>
      <w:r w:rsidR="004A7292">
        <w:t xml:space="preserve">covery. </w:t>
      </w:r>
      <w:r>
        <w:t>In the short run, personal savings in November 2020 was almost double ($1 Trillion more) than November 2019, according to the Bureau of Economic Analysis</w:t>
      </w:r>
      <w:r w:rsidR="004A7292">
        <w:t>. This could support increased</w:t>
      </w:r>
      <w:r>
        <w:t xml:space="preserve"> consumer spending once the fear of the virus fades. </w:t>
      </w:r>
    </w:p>
    <w:p w:rsidR="00616DD6" w:rsidRDefault="000D5573" w:rsidP="00EA64BB">
      <w:pPr>
        <w:ind w:left="-5" w:right="0"/>
        <w:sectPr w:rsidR="00616DD6">
          <w:type w:val="continuous"/>
          <w:pgSz w:w="12240" w:h="15840"/>
          <w:pgMar w:top="1032" w:right="742" w:bottom="5866" w:left="720" w:header="720" w:footer="720" w:gutter="0"/>
          <w:cols w:num="2" w:space="473"/>
        </w:sectPr>
      </w:pPr>
      <w:r>
        <w:t>The data for West Michigan and the United States both show that 20</w:t>
      </w:r>
      <w:r w:rsidR="00EA64BB">
        <w:t>2</w:t>
      </w:r>
      <w:r w:rsidR="0044152C">
        <w:t>1</w:t>
      </w:r>
      <w:r>
        <w:t xml:space="preserve"> </w:t>
      </w:r>
      <w:r w:rsidR="0044152C">
        <w:t>will provide a strong comeback from the</w:t>
      </w:r>
      <w:r w:rsidR="004A7292">
        <w:t xml:space="preserve"> COVID-19</w:t>
      </w:r>
      <w:r w:rsidR="0044152C">
        <w:t xml:space="preserve"> </w:t>
      </w:r>
      <w:r w:rsidR="004A7292">
        <w:t>driven</w:t>
      </w:r>
      <w:r w:rsidR="0044152C">
        <w:t xml:space="preserve"> recession</w:t>
      </w:r>
      <w:r w:rsidR="004A7292">
        <w:t>, w</w:t>
      </w:r>
      <w:r w:rsidR="0044152C">
        <w:t>ith much of that growth occurring in the second half of the year.</w:t>
      </w:r>
    </w:p>
    <w:p w:rsidR="00616DD6" w:rsidRDefault="000D5573">
      <w:pPr>
        <w:pStyle w:val="Heading1"/>
        <w:ind w:left="0" w:right="50" w:firstLine="0"/>
        <w:jc w:val="center"/>
      </w:pPr>
      <w:r>
        <w:t xml:space="preserve">Table 1: </w:t>
      </w:r>
      <w:r w:rsidR="004A7292">
        <w:t>Economic Forecasting</w:t>
      </w:r>
      <w:r>
        <w:t xml:space="preserve"> Survey</w:t>
      </w:r>
      <w:r w:rsidR="004A7292">
        <w:t xml:space="preserve"> Data</w:t>
      </w:r>
    </w:p>
    <w:tbl>
      <w:tblPr>
        <w:tblStyle w:val="TableGrid"/>
        <w:tblW w:w="10794" w:type="dxa"/>
        <w:tblInd w:w="5" w:type="dxa"/>
        <w:tblCellMar>
          <w:top w:w="70" w:type="dxa"/>
          <w:left w:w="86" w:type="dxa"/>
          <w:right w:w="115" w:type="dxa"/>
        </w:tblCellMar>
        <w:tblLook w:val="04A0" w:firstRow="1" w:lastRow="0" w:firstColumn="1" w:lastColumn="0" w:noHBand="0" w:noVBand="1"/>
      </w:tblPr>
      <w:tblGrid>
        <w:gridCol w:w="6662"/>
        <w:gridCol w:w="2030"/>
        <w:gridCol w:w="2102"/>
      </w:tblGrid>
      <w:tr w:rsidR="00616DD6">
        <w:trPr>
          <w:trHeight w:val="360"/>
        </w:trPr>
        <w:tc>
          <w:tcPr>
            <w:tcW w:w="6662" w:type="dxa"/>
            <w:tcBorders>
              <w:top w:val="single" w:sz="4" w:space="0" w:color="999A9A"/>
              <w:left w:val="single" w:sz="4" w:space="0" w:color="999A9A"/>
              <w:bottom w:val="single" w:sz="4" w:space="0" w:color="999A9A"/>
              <w:right w:val="single" w:sz="4" w:space="0" w:color="999A9A"/>
            </w:tcBorders>
            <w:shd w:val="clear" w:color="auto" w:fill="181717"/>
          </w:tcPr>
          <w:p w:rsidR="00616DD6" w:rsidRDefault="000D5573">
            <w:pPr>
              <w:spacing w:after="0" w:line="259" w:lineRule="auto"/>
              <w:ind w:left="0" w:right="0" w:firstLine="0"/>
            </w:pPr>
            <w:r>
              <w:rPr>
                <w:b/>
                <w:color w:val="FFFEFD"/>
                <w:sz w:val="18"/>
              </w:rPr>
              <w:t>Survey</w:t>
            </w:r>
          </w:p>
        </w:tc>
        <w:tc>
          <w:tcPr>
            <w:tcW w:w="2030" w:type="dxa"/>
            <w:tcBorders>
              <w:top w:val="single" w:sz="4" w:space="0" w:color="999A9A"/>
              <w:left w:val="single" w:sz="4" w:space="0" w:color="999A9A"/>
              <w:bottom w:val="single" w:sz="4" w:space="0" w:color="999A9A"/>
              <w:right w:val="single" w:sz="4" w:space="0" w:color="999A9A"/>
            </w:tcBorders>
            <w:shd w:val="clear" w:color="auto" w:fill="181717"/>
          </w:tcPr>
          <w:p w:rsidR="00616DD6" w:rsidRDefault="000D5573">
            <w:pPr>
              <w:spacing w:after="0" w:line="259" w:lineRule="auto"/>
              <w:ind w:left="29" w:right="0" w:firstLine="0"/>
              <w:jc w:val="center"/>
            </w:pPr>
            <w:r>
              <w:rPr>
                <w:b/>
                <w:color w:val="FFFEFD"/>
                <w:sz w:val="18"/>
              </w:rPr>
              <w:t xml:space="preserve">GDP Growth </w:t>
            </w:r>
            <w:r w:rsidR="00CC5DC9">
              <w:rPr>
                <w:b/>
                <w:color w:val="FFFEFD"/>
                <w:sz w:val="18"/>
              </w:rPr>
              <w:t>2021</w:t>
            </w:r>
          </w:p>
        </w:tc>
        <w:tc>
          <w:tcPr>
            <w:tcW w:w="2102" w:type="dxa"/>
            <w:tcBorders>
              <w:top w:val="single" w:sz="4" w:space="0" w:color="999A9A"/>
              <w:left w:val="single" w:sz="4" w:space="0" w:color="999A9A"/>
              <w:bottom w:val="single" w:sz="4" w:space="0" w:color="999A9A"/>
              <w:right w:val="single" w:sz="4" w:space="0" w:color="999A9A"/>
            </w:tcBorders>
            <w:shd w:val="clear" w:color="auto" w:fill="181717"/>
          </w:tcPr>
          <w:p w:rsidR="00616DD6" w:rsidRDefault="000D5573">
            <w:pPr>
              <w:spacing w:after="0" w:line="259" w:lineRule="auto"/>
              <w:ind w:left="29" w:right="0" w:firstLine="0"/>
              <w:jc w:val="center"/>
            </w:pPr>
            <w:r>
              <w:rPr>
                <w:b/>
                <w:color w:val="FFFEFD"/>
                <w:sz w:val="18"/>
              </w:rPr>
              <w:t xml:space="preserve">Inflation </w:t>
            </w:r>
            <w:r w:rsidR="00CC5DC9">
              <w:rPr>
                <w:b/>
                <w:color w:val="FFFEFD"/>
                <w:sz w:val="18"/>
              </w:rPr>
              <w:t>2021</w:t>
            </w:r>
          </w:p>
        </w:tc>
      </w:tr>
      <w:tr w:rsidR="00616DD6">
        <w:trPr>
          <w:trHeight w:val="360"/>
        </w:trPr>
        <w:tc>
          <w:tcPr>
            <w:tcW w:w="6662" w:type="dxa"/>
            <w:tcBorders>
              <w:top w:val="single" w:sz="4" w:space="0" w:color="999A9A"/>
              <w:left w:val="single" w:sz="4" w:space="0" w:color="999A9A"/>
              <w:bottom w:val="single" w:sz="4" w:space="0" w:color="999A9A"/>
              <w:right w:val="single" w:sz="4" w:space="0" w:color="999A9A"/>
            </w:tcBorders>
            <w:shd w:val="clear" w:color="auto" w:fill="F4F5F7"/>
          </w:tcPr>
          <w:p w:rsidR="00616DD6" w:rsidRDefault="000D5573">
            <w:pPr>
              <w:spacing w:after="0" w:line="259" w:lineRule="auto"/>
              <w:ind w:left="94" w:right="0" w:firstLine="0"/>
            </w:pPr>
            <w:r>
              <w:rPr>
                <w:color w:val="0B5583"/>
                <w:sz w:val="18"/>
              </w:rPr>
              <w:t>Philadelphia Federal Reserve Survey of Professional Forecasters (Nov)</w:t>
            </w:r>
          </w:p>
        </w:tc>
        <w:tc>
          <w:tcPr>
            <w:tcW w:w="2030" w:type="dxa"/>
            <w:tcBorders>
              <w:top w:val="single" w:sz="4" w:space="0" w:color="999A9A"/>
              <w:left w:val="single" w:sz="4" w:space="0" w:color="999A9A"/>
              <w:bottom w:val="single" w:sz="4" w:space="0" w:color="999A9A"/>
              <w:right w:val="single" w:sz="4" w:space="0" w:color="999A9A"/>
            </w:tcBorders>
            <w:shd w:val="clear" w:color="auto" w:fill="F4F5F7"/>
          </w:tcPr>
          <w:p w:rsidR="00616DD6" w:rsidRDefault="00CC5DC9">
            <w:pPr>
              <w:spacing w:after="0" w:line="259" w:lineRule="auto"/>
              <w:ind w:left="29" w:right="0" w:firstLine="0"/>
              <w:jc w:val="center"/>
            </w:pPr>
            <w:r>
              <w:rPr>
                <w:color w:val="0B5583"/>
                <w:sz w:val="18"/>
              </w:rPr>
              <w:t>4.0</w:t>
            </w:r>
            <w:r w:rsidR="000D5573">
              <w:rPr>
                <w:color w:val="0B5583"/>
                <w:sz w:val="18"/>
              </w:rPr>
              <w:t>%</w:t>
            </w:r>
          </w:p>
        </w:tc>
        <w:tc>
          <w:tcPr>
            <w:tcW w:w="2102" w:type="dxa"/>
            <w:tcBorders>
              <w:top w:val="single" w:sz="4" w:space="0" w:color="999A9A"/>
              <w:left w:val="single" w:sz="4" w:space="0" w:color="999A9A"/>
              <w:bottom w:val="single" w:sz="4" w:space="0" w:color="999A9A"/>
              <w:right w:val="single" w:sz="4" w:space="0" w:color="999A9A"/>
            </w:tcBorders>
            <w:shd w:val="clear" w:color="auto" w:fill="F4F5F7"/>
          </w:tcPr>
          <w:p w:rsidR="00616DD6" w:rsidRDefault="00CC5DC9">
            <w:pPr>
              <w:spacing w:after="0" w:line="259" w:lineRule="auto"/>
              <w:ind w:left="180" w:right="0" w:firstLine="0"/>
              <w:jc w:val="center"/>
            </w:pPr>
            <w:r>
              <w:rPr>
                <w:color w:val="0B5583"/>
                <w:sz w:val="18"/>
              </w:rPr>
              <w:t>1.9</w:t>
            </w:r>
            <w:r w:rsidR="000D5573">
              <w:rPr>
                <w:color w:val="0B5583"/>
                <w:sz w:val="18"/>
              </w:rPr>
              <w:t>% (core CPI)</w:t>
            </w:r>
          </w:p>
        </w:tc>
      </w:tr>
      <w:tr w:rsidR="00616DD6">
        <w:trPr>
          <w:trHeight w:val="360"/>
        </w:trPr>
        <w:tc>
          <w:tcPr>
            <w:tcW w:w="6662" w:type="dxa"/>
            <w:tcBorders>
              <w:top w:val="single" w:sz="4" w:space="0" w:color="999A9A"/>
              <w:left w:val="single" w:sz="4" w:space="0" w:color="999A9A"/>
              <w:bottom w:val="single" w:sz="4" w:space="0" w:color="999A9A"/>
              <w:right w:val="single" w:sz="4" w:space="0" w:color="999A9A"/>
            </w:tcBorders>
            <w:shd w:val="clear" w:color="auto" w:fill="FFFEFD"/>
          </w:tcPr>
          <w:p w:rsidR="00616DD6" w:rsidRDefault="000D5573">
            <w:pPr>
              <w:spacing w:after="0" w:line="259" w:lineRule="auto"/>
              <w:ind w:left="94" w:right="0" w:firstLine="0"/>
            </w:pPr>
            <w:r>
              <w:rPr>
                <w:color w:val="0B5583"/>
                <w:sz w:val="18"/>
              </w:rPr>
              <w:t>Federal Open Market Projections (Sept)</w:t>
            </w:r>
          </w:p>
        </w:tc>
        <w:tc>
          <w:tcPr>
            <w:tcW w:w="2030" w:type="dxa"/>
            <w:tcBorders>
              <w:top w:val="single" w:sz="4" w:space="0" w:color="999A9A"/>
              <w:left w:val="single" w:sz="4" w:space="0" w:color="999A9A"/>
              <w:bottom w:val="single" w:sz="4" w:space="0" w:color="999A9A"/>
              <w:right w:val="single" w:sz="4" w:space="0" w:color="999A9A"/>
            </w:tcBorders>
            <w:shd w:val="clear" w:color="auto" w:fill="FFFEFD"/>
          </w:tcPr>
          <w:p w:rsidR="00616DD6" w:rsidRDefault="00CC5DC9">
            <w:pPr>
              <w:spacing w:after="0" w:line="259" w:lineRule="auto"/>
              <w:ind w:left="29" w:right="0" w:firstLine="0"/>
              <w:jc w:val="center"/>
            </w:pPr>
            <w:r>
              <w:rPr>
                <w:color w:val="0B5583"/>
                <w:sz w:val="18"/>
              </w:rPr>
              <w:t>4.2</w:t>
            </w:r>
            <w:r w:rsidR="000D5573">
              <w:rPr>
                <w:color w:val="0B5583"/>
                <w:sz w:val="18"/>
              </w:rPr>
              <w:t>%</w:t>
            </w:r>
          </w:p>
        </w:tc>
        <w:tc>
          <w:tcPr>
            <w:tcW w:w="2102" w:type="dxa"/>
            <w:tcBorders>
              <w:top w:val="single" w:sz="4" w:space="0" w:color="999A9A"/>
              <w:left w:val="single" w:sz="4" w:space="0" w:color="999A9A"/>
              <w:bottom w:val="single" w:sz="4" w:space="0" w:color="999A9A"/>
              <w:right w:val="single" w:sz="4" w:space="0" w:color="999A9A"/>
            </w:tcBorders>
            <w:shd w:val="clear" w:color="auto" w:fill="FFFEFD"/>
          </w:tcPr>
          <w:p w:rsidR="00616DD6" w:rsidRDefault="00BC5F2C">
            <w:pPr>
              <w:spacing w:after="0" w:line="259" w:lineRule="auto"/>
              <w:ind w:left="755" w:right="0" w:firstLine="0"/>
            </w:pPr>
            <w:r>
              <w:rPr>
                <w:color w:val="0B5583"/>
                <w:sz w:val="18"/>
              </w:rPr>
              <w:t>1.</w:t>
            </w:r>
            <w:r w:rsidR="00CC5DC9">
              <w:rPr>
                <w:color w:val="0B5583"/>
                <w:sz w:val="18"/>
              </w:rPr>
              <w:t>8</w:t>
            </w:r>
            <w:r w:rsidR="000D5573">
              <w:rPr>
                <w:color w:val="0B5583"/>
                <w:sz w:val="18"/>
              </w:rPr>
              <w:t>% (PCE)</w:t>
            </w:r>
          </w:p>
        </w:tc>
      </w:tr>
      <w:tr w:rsidR="00616DD6">
        <w:trPr>
          <w:trHeight w:val="360"/>
        </w:trPr>
        <w:tc>
          <w:tcPr>
            <w:tcW w:w="6662" w:type="dxa"/>
            <w:tcBorders>
              <w:top w:val="single" w:sz="4" w:space="0" w:color="999A9A"/>
              <w:left w:val="single" w:sz="4" w:space="0" w:color="999A9A"/>
              <w:bottom w:val="single" w:sz="4" w:space="0" w:color="999A9A"/>
              <w:right w:val="single" w:sz="4" w:space="0" w:color="999A9A"/>
            </w:tcBorders>
            <w:shd w:val="clear" w:color="auto" w:fill="F4F5F7"/>
          </w:tcPr>
          <w:p w:rsidR="00616DD6" w:rsidRDefault="000D5573">
            <w:pPr>
              <w:spacing w:after="0" w:line="259" w:lineRule="auto"/>
              <w:ind w:left="94" w:right="0" w:firstLine="0"/>
            </w:pPr>
            <w:r>
              <w:rPr>
                <w:color w:val="0B5583"/>
                <w:sz w:val="18"/>
              </w:rPr>
              <w:t>Wall Street Journal Economic Forecasting Survey (Dec)</w:t>
            </w:r>
          </w:p>
        </w:tc>
        <w:tc>
          <w:tcPr>
            <w:tcW w:w="2030" w:type="dxa"/>
            <w:tcBorders>
              <w:top w:val="single" w:sz="4" w:space="0" w:color="999A9A"/>
              <w:left w:val="single" w:sz="4" w:space="0" w:color="999A9A"/>
              <w:bottom w:val="single" w:sz="4" w:space="0" w:color="999A9A"/>
              <w:right w:val="single" w:sz="4" w:space="0" w:color="999A9A"/>
            </w:tcBorders>
            <w:shd w:val="clear" w:color="auto" w:fill="F4F5F7"/>
          </w:tcPr>
          <w:p w:rsidR="00616DD6" w:rsidRDefault="00CC5DC9">
            <w:pPr>
              <w:spacing w:after="0" w:line="259" w:lineRule="auto"/>
              <w:ind w:left="29" w:right="0" w:firstLine="0"/>
              <w:jc w:val="center"/>
            </w:pPr>
            <w:r>
              <w:rPr>
                <w:color w:val="0B5583"/>
                <w:sz w:val="18"/>
              </w:rPr>
              <w:t>3.7</w:t>
            </w:r>
            <w:r w:rsidR="000D5573">
              <w:rPr>
                <w:color w:val="0B5583"/>
                <w:sz w:val="18"/>
              </w:rPr>
              <w:t>%</w:t>
            </w:r>
          </w:p>
        </w:tc>
        <w:tc>
          <w:tcPr>
            <w:tcW w:w="2102" w:type="dxa"/>
            <w:tcBorders>
              <w:top w:val="single" w:sz="4" w:space="0" w:color="999A9A"/>
              <w:left w:val="single" w:sz="4" w:space="0" w:color="999A9A"/>
              <w:bottom w:val="single" w:sz="4" w:space="0" w:color="999A9A"/>
              <w:right w:val="single" w:sz="4" w:space="0" w:color="999A9A"/>
            </w:tcBorders>
            <w:shd w:val="clear" w:color="auto" w:fill="F4F5F7"/>
          </w:tcPr>
          <w:p w:rsidR="00616DD6" w:rsidRDefault="000D5573">
            <w:pPr>
              <w:spacing w:after="0" w:line="259" w:lineRule="auto"/>
              <w:ind w:left="805" w:right="0" w:firstLine="0"/>
            </w:pPr>
            <w:r>
              <w:rPr>
                <w:color w:val="0B5583"/>
                <w:sz w:val="18"/>
              </w:rPr>
              <w:t>2.1% (CPI)</w:t>
            </w:r>
          </w:p>
        </w:tc>
      </w:tr>
    </w:tbl>
    <w:p w:rsidR="00BC5F2C" w:rsidRDefault="002C5BD8">
      <w:pPr>
        <w:spacing w:after="391" w:line="284" w:lineRule="auto"/>
        <w:ind w:left="0" w:right="0" w:firstLine="0"/>
        <w:rPr>
          <w:sz w:val="14"/>
        </w:rPr>
      </w:pPr>
      <w:hyperlink r:id="rId15" w:history="1">
        <w:r w:rsidR="00BC5F2C" w:rsidRPr="00546E7E">
          <w:rPr>
            <w:rStyle w:val="Hyperlink"/>
            <w:sz w:val="14"/>
          </w:rPr>
          <w:t>https://www.philadelphiafed.org/research-and-data/</w:t>
        </w:r>
      </w:hyperlink>
      <w:r w:rsidR="000D5573">
        <w:rPr>
          <w:sz w:val="14"/>
        </w:rPr>
        <w:tab/>
      </w:r>
    </w:p>
    <w:p w:rsidR="00BC5F2C" w:rsidRDefault="000D5573">
      <w:pPr>
        <w:spacing w:after="391" w:line="284" w:lineRule="auto"/>
        <w:ind w:left="0" w:right="0" w:firstLine="0"/>
        <w:rPr>
          <w:sz w:val="14"/>
        </w:rPr>
      </w:pPr>
      <w:r>
        <w:rPr>
          <w:sz w:val="14"/>
        </w:rPr>
        <w:t xml:space="preserve">https://www.wsj.com/graphics/econsurvey/ </w:t>
      </w:r>
    </w:p>
    <w:p w:rsidR="00616DD6" w:rsidRDefault="002C5BD8">
      <w:pPr>
        <w:spacing w:after="391" w:line="284" w:lineRule="auto"/>
        <w:ind w:left="0" w:right="0" w:firstLine="0"/>
      </w:pPr>
      <w:hyperlink r:id="rId16" w:history="1">
        <w:r w:rsidR="00CC5DC9" w:rsidRPr="00CC5DC9">
          <w:rPr>
            <w:color w:val="0000FF"/>
            <w:u w:val="single"/>
          </w:rPr>
          <w:t>https://www.federalreserve.gov/monetarypolicy/fomcprojtabl20201216.htm</w:t>
        </w:r>
      </w:hyperlink>
      <w:r w:rsidR="000D5573">
        <w:rPr>
          <w:sz w:val="14"/>
        </w:rPr>
        <w:tab/>
      </w:r>
    </w:p>
    <w:p w:rsidR="00616DD6" w:rsidRDefault="000D5573">
      <w:pPr>
        <w:pStyle w:val="Heading1"/>
        <w:ind w:left="-5"/>
      </w:pPr>
      <w:r>
        <w:t xml:space="preserve">Acknowledgments </w:t>
      </w:r>
    </w:p>
    <w:p w:rsidR="00616DD6" w:rsidRDefault="000D5573">
      <w:pPr>
        <w:spacing w:after="5220"/>
        <w:ind w:left="-5" w:right="5504"/>
      </w:pPr>
      <w:r>
        <w:t xml:space="preserve">This study could not be completed without the assistance of the SBDC West Michigan Region staff. We are very grateful to all the organizations that participated in the survey. </w:t>
      </w:r>
      <w:r>
        <w:rPr>
          <w:noProof/>
          <w:color w:val="000000"/>
          <w:sz w:val="22"/>
        </w:rPr>
        <mc:AlternateContent>
          <mc:Choice Requires="wpg">
            <w:drawing>
              <wp:inline distT="0" distB="0" distL="0" distR="0" wp14:anchorId="52BE8611" wp14:editId="722A094C">
                <wp:extent cx="77724" cy="77724"/>
                <wp:effectExtent l="0" t="0" r="0" b="0"/>
                <wp:docPr id="6072" name="Group 6072"/>
                <wp:cNvGraphicFramePr/>
                <a:graphic xmlns:a="http://schemas.openxmlformats.org/drawingml/2006/main">
                  <a:graphicData uri="http://schemas.microsoft.com/office/word/2010/wordprocessingGroup">
                    <wpg:wgp>
                      <wpg:cNvGrpSpPr/>
                      <wpg:grpSpPr>
                        <a:xfrm>
                          <a:off x="0" y="0"/>
                          <a:ext cx="77724" cy="77724"/>
                          <a:chOff x="0" y="0"/>
                          <a:chExt cx="77724" cy="77724"/>
                        </a:xfrm>
                      </wpg:grpSpPr>
                      <wps:wsp>
                        <wps:cNvPr id="9314" name="Shape 9314"/>
                        <wps:cNvSpPr/>
                        <wps:spPr>
                          <a:xfrm>
                            <a:off x="0" y="0"/>
                            <a:ext cx="77724" cy="77724"/>
                          </a:xfrm>
                          <a:custGeom>
                            <a:avLst/>
                            <a:gdLst/>
                            <a:ahLst/>
                            <a:cxnLst/>
                            <a:rect l="0" t="0" r="0" b="0"/>
                            <a:pathLst>
                              <a:path w="77724" h="77724">
                                <a:moveTo>
                                  <a:pt x="0" y="0"/>
                                </a:moveTo>
                                <a:lnTo>
                                  <a:pt x="77724" y="0"/>
                                </a:lnTo>
                                <a:lnTo>
                                  <a:pt x="77724" y="77724"/>
                                </a:lnTo>
                                <a:lnTo>
                                  <a:pt x="0" y="77724"/>
                                </a:lnTo>
                                <a:lnTo>
                                  <a:pt x="0" y="0"/>
                                </a:lnTo>
                              </a:path>
                            </a:pathLst>
                          </a:custGeom>
                          <a:ln w="0" cap="flat">
                            <a:miter lim="127000"/>
                          </a:ln>
                        </wps:spPr>
                        <wps:style>
                          <a:lnRef idx="0">
                            <a:srgbClr val="000000">
                              <a:alpha val="0"/>
                            </a:srgbClr>
                          </a:lnRef>
                          <a:fillRef idx="1">
                            <a:srgbClr val="136191"/>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EAAD15" id="Group 6072" o:spid="_x0000_s1026" style="width:6.1pt;height:6.1pt;mso-position-horizontal-relative:char;mso-position-vertical-relative:line" coordsize="77724,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KbegIAAE8GAAAOAAAAZHJzL2Uyb0RvYy54bWykVU1v2zAMvQ/YfxB8X2ynQ7IaSXpYt1yG&#10;rVi7H6DIkm1AX5CUOPn3o2hbSVOsA9ocbJoiKb4n6mV1d1SSHLjzndHrrJwVGeGambrTzTr78/T9&#10;05eM+EB1TaXRfJ2duM/uNh8/rHpb8blpjay5I1BE+6q366wNwVZ57lnLFfUzY7mGRWGcogE+XZPX&#10;jvZQXcl8XhSLvDeuts4w7j1474fFbIP1heAs/BLC80DkOoPeAj4dPnfxmW9WtGoctW3HxjboG7pQ&#10;tNOwaSp1TwMle9e9KKU65ow3IsyYUbkRomMcMQCasrhCs3VmbxFLU/WNTTQBtVc8vbks+3l4cKSr&#10;19miWM4zoqmCU8KNCXqAoN42FcRtnX20D250NMNXxHwUTsU3oCFHpPaUqOXHQBg4l8vl/HNGGKwM&#10;JhLPWjidFzms/fZKVj5tmMe+Uhu9hQHyZ478+zh6bKnlSL2P2EeObm9KADFwhBEEPUgJxiWCfOWB&#10;q/ewk3DSiu192HKDJNPDDx+QvKaeLNpOFjvqyXQw+69OvaUh5sUeo0n66WhIO1lxTZkDfzIYFa6O&#10;Clo8r0p9GTWe9zQIEDmtT2+L1c5xaSz+GQv393J8/hOHdzvFgBFBblajgcDBvqRW6sgB7MIoKJGQ&#10;NOCVVl0AiZKdAn2bL4viXBiqxbEbThqtcJI8UiX1by7gWuF1iA7vmt1X6ciBRiHCHxan0rZ09EYx&#10;gpbGULSxTswXnZSpZImpz0qWN4vythwrjMExj6MGpsxiyGRjN4MQgpwA6EkOoYOUhDsbHVK+BhHH&#10;TS7QRnNn6hNKAxIC9xCpQdVCHKPCRlm8/Mao8//A5i8AAAD//wMAUEsDBBQABgAIAAAAIQCTkHRa&#10;2AAAAAMBAAAPAAAAZHJzL2Rvd25yZXYueG1sTI9Ba8JAEIXvhf6HZQRvdZNIS4nZiEjbkwjVQult&#10;zI5JMDsbsmsS/71re6iXeQxveO+bbDmaRvTUudqygngWgSAurK65VPC1f396BeE8ssbGMim4kINl&#10;/viQYartwJ/U73wpQgi7FBVU3replK6oyKCb2ZY4eEfbGfRh7UqpOxxCuGlkEkUv0mDNoaHCltYV&#10;Fafd2Sj4GHBYzeO3fnM6ri8/++ft9yYmpaaTcbUA4Wn0/8dwww/okAemgz2zdqJREB7xv/PmJQmI&#10;w5/KPJP37PkVAAD//wMAUEsBAi0AFAAGAAgAAAAhALaDOJL+AAAA4QEAABMAAAAAAAAAAAAAAAAA&#10;AAAAAFtDb250ZW50X1R5cGVzXS54bWxQSwECLQAUAAYACAAAACEAOP0h/9YAAACUAQAACwAAAAAA&#10;AAAAAAAAAAAvAQAAX3JlbHMvLnJlbHNQSwECLQAUAAYACAAAACEAyjqCm3oCAABPBgAADgAAAAAA&#10;AAAAAAAAAAAuAgAAZHJzL2Uyb0RvYy54bWxQSwECLQAUAAYACAAAACEAk5B0WtgAAAADAQAADwAA&#10;AAAAAAAAAAAAAADUBAAAZHJzL2Rvd25yZXYueG1sUEsFBgAAAAAEAAQA8wAAANkFAAAAAA==&#10;">
                <v:shape id="Shape 9314" o:spid="_x0000_s1027" style="position:absolute;width:77724;height:77724;visibility:visible;mso-wrap-style:square;v-text-anchor:top" coordsize="7772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RexAAAAN0AAAAPAAAAZHJzL2Rvd25yZXYueG1sRI9BawIx&#10;FITvBf9DeIK3mrVWsVujFLUq3rTS82Pz3KxuXtZN1PXfG6HQ4zAz3zDjaWNLcaXaF44V9LoJCOLM&#10;6YJzBfuf79cRCB+QNZaOScGdPEwnrZcxptrdeEvXXchFhLBPUYEJoUql9Jkhi77rKuLoHVxtMURZ&#10;51LXeItwW8q3JBlKiwXHBYMVzQxlp93FKtj8XsrKcHIw8yUvVoPjdn9ujFKddvP1CSJQE/7Df+21&#10;VvDR773D8018AnLyAAAA//8DAFBLAQItABQABgAIAAAAIQDb4fbL7gAAAIUBAAATAAAAAAAAAAAA&#10;AAAAAAAAAABbQ29udGVudF9UeXBlc10ueG1sUEsBAi0AFAAGAAgAAAAhAFr0LFu/AAAAFQEAAAsA&#10;AAAAAAAAAAAAAAAAHwEAAF9yZWxzLy5yZWxzUEsBAi0AFAAGAAgAAAAhADYddF7EAAAA3QAAAA8A&#10;AAAAAAAAAAAAAAAABwIAAGRycy9kb3ducmV2LnhtbFBLBQYAAAAAAwADALcAAAD4AgAAAAA=&#10;" path="m,l77724,r,77724l,77724,,e" fillcolor="#136191" stroked="f" strokeweight="0">
                  <v:stroke miterlimit="83231f" joinstyle="miter"/>
                  <v:path arrowok="t" textboxrect="0,0,77724,77724"/>
                </v:shape>
                <w10:anchorlock/>
              </v:group>
            </w:pict>
          </mc:Fallback>
        </mc:AlternateContent>
      </w:r>
    </w:p>
    <w:p w:rsidR="00616DD6" w:rsidRDefault="000D5573">
      <w:pPr>
        <w:tabs>
          <w:tab w:val="center" w:pos="9495"/>
          <w:tab w:val="right" w:pos="10821"/>
        </w:tabs>
        <w:spacing w:after="0" w:line="259" w:lineRule="auto"/>
        <w:ind w:left="0" w:right="0" w:firstLine="0"/>
      </w:pPr>
      <w:r>
        <w:rPr>
          <w:color w:val="000000"/>
          <w:sz w:val="22"/>
        </w:rPr>
        <w:lastRenderedPageBreak/>
        <w:tab/>
      </w:r>
      <w:r>
        <w:rPr>
          <w:sz w:val="16"/>
        </w:rPr>
        <w:t>www.gvsu.edu/business</w:t>
      </w:r>
      <w:r>
        <w:rPr>
          <w:sz w:val="16"/>
        </w:rPr>
        <w:tab/>
        <w:t>5</w:t>
      </w:r>
      <w:r>
        <w:rPr>
          <w:b/>
          <w:sz w:val="16"/>
        </w:rPr>
        <w:t xml:space="preserve"> </w:t>
      </w:r>
    </w:p>
    <w:sectPr w:rsidR="00616DD6">
      <w:type w:val="continuous"/>
      <w:pgSz w:w="12240" w:h="15840"/>
      <w:pgMar w:top="1032" w:right="699" w:bottom="346"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AFEE" w16cex:dateUtc="2021-01-05T14:29:00Z"/>
  <w16cex:commentExtensible w16cex:durableId="239EB080" w16cex:dateUtc="2021-01-05T14:31:00Z"/>
  <w16cex:commentExtensible w16cex:durableId="239EB868" w16cex:dateUtc="2021-01-05T15:0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BD8" w:rsidRDefault="002C5BD8">
      <w:pPr>
        <w:spacing w:after="0" w:line="240" w:lineRule="auto"/>
      </w:pPr>
      <w:r>
        <w:separator/>
      </w:r>
    </w:p>
  </w:endnote>
  <w:endnote w:type="continuationSeparator" w:id="0">
    <w:p w:rsidR="002C5BD8" w:rsidRDefault="002C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BD8" w:rsidRDefault="002C5BD8">
      <w:pPr>
        <w:spacing w:after="0" w:line="240" w:lineRule="auto"/>
      </w:pPr>
      <w:r>
        <w:separator/>
      </w:r>
    </w:p>
  </w:footnote>
  <w:footnote w:type="continuationSeparator" w:id="0">
    <w:p w:rsidR="002C5BD8" w:rsidRDefault="002C5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73" w:rsidRDefault="000D5573">
    <w:pPr>
      <w:spacing w:after="0" w:line="259" w:lineRule="auto"/>
      <w:ind w:left="-720" w:right="10323" w:firstLine="0"/>
    </w:pPr>
    <w:r>
      <w:rPr>
        <w:noProof/>
        <w:color w:val="000000"/>
        <w:sz w:val="22"/>
      </w:rPr>
      <mc:AlternateContent>
        <mc:Choice Requires="wpg">
          <w:drawing>
            <wp:anchor distT="0" distB="0" distL="114300" distR="114300" simplePos="0" relativeHeight="251658240" behindDoc="0" locked="0" layoutInCell="1" allowOverlap="1" wp14:anchorId="63E2C97E" wp14:editId="0E58C39D">
              <wp:simplePos x="0" y="0"/>
              <wp:positionH relativeFrom="page">
                <wp:posOffset>457200</wp:posOffset>
              </wp:positionH>
              <wp:positionV relativeFrom="page">
                <wp:posOffset>336550</wp:posOffset>
              </wp:positionV>
              <wp:extent cx="6870700" cy="12700"/>
              <wp:effectExtent l="0" t="0" r="0" b="0"/>
              <wp:wrapSquare wrapText="bothSides"/>
              <wp:docPr id="7970" name="Group 7970"/>
              <wp:cNvGraphicFramePr/>
              <a:graphic xmlns:a="http://schemas.openxmlformats.org/drawingml/2006/main">
                <a:graphicData uri="http://schemas.microsoft.com/office/word/2010/wordprocessingGroup">
                  <wpg:wgp>
                    <wpg:cNvGrpSpPr/>
                    <wpg:grpSpPr>
                      <a:xfrm>
                        <a:off x="0" y="0"/>
                        <a:ext cx="6870700" cy="12700"/>
                        <a:chOff x="0" y="0"/>
                        <a:chExt cx="6870700" cy="12700"/>
                      </a:xfrm>
                    </wpg:grpSpPr>
                    <wps:wsp>
                      <wps:cNvPr id="7971" name="Shape 7971"/>
                      <wps:cNvSpPr/>
                      <wps:spPr>
                        <a:xfrm>
                          <a:off x="0" y="0"/>
                          <a:ext cx="6870700" cy="0"/>
                        </a:xfrm>
                        <a:custGeom>
                          <a:avLst/>
                          <a:gdLst/>
                          <a:ahLst/>
                          <a:cxnLst/>
                          <a:rect l="0" t="0" r="0" b="0"/>
                          <a:pathLst>
                            <a:path w="6870700">
                              <a:moveTo>
                                <a:pt x="0" y="0"/>
                              </a:moveTo>
                              <a:lnTo>
                                <a:pt x="6870700" y="0"/>
                              </a:lnTo>
                            </a:path>
                          </a:pathLst>
                        </a:custGeom>
                        <a:ln w="12700" cap="flat">
                          <a:miter lim="100000"/>
                        </a:ln>
                      </wps:spPr>
                      <wps:style>
                        <a:lnRef idx="1">
                          <a:srgbClr val="136191"/>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93991A" id="Group 7970" o:spid="_x0000_s1026" style="position:absolute;margin-left:36pt;margin-top:26.5pt;width:541pt;height:1pt;z-index:251658240;mso-position-horizontal-relative:page;mso-position-vertical-relative:page" coordsize="6870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fJYAIAANcFAAAOAAAAZHJzL2Uyb0RvYy54bWykVE1v2zAMvQ/YfxB8X21nQNIacXpYt1yG&#10;rVi7H6DIki1AX5CUOPn3o+iPBAnQQ+aDTUvk4+MTxfXzUSty4D5Ia+qsfCgywg2zjTRtnf19//Hl&#10;MSMhUtNQZQ2vsxMP2fPm86d17yq+sJ1VDfcEQEyoeldnXYyuyvPAOq5peLCOG9gU1msa4de3eeNp&#10;D+ha5YuiWOa99Y3zlvEQYPVl2Mw2iC8EZ/G3EIFHouoMuEV8e3zv0jvfrGnVeuo6yUYa9A4WmkoD&#10;SWeoFxop2Xt5A6Ul8zZYER+Y1bkVQjKONUA1ZXFVzdbbvcNa2qpv3SwTSHul092w7Nfh1RPZ1Nnq&#10;aQUCGarhlDAxwRUQqHdtBX5b797cqx8X2uEv1XwUXqcvVEOOKO1plpYfI2GwuHxcFasCEjDYKxfJ&#10;ROlZB+dzE8W67x/G5VPSPHGbqfQOmiicdQr/p9NbRx1H+UOq/6xTOemEHkmnMlWT0oPfLFKoAuh1&#10;l0Kozlwlrdg+xC23KDM9/AwRxWubyaLdZLGjmUwP3f9h3zsaU1ximEzSn88prWl74O8Wd+PVEQG1&#10;864yl17zSU9NAL6DBxgpzWY9Gpga7MvilEkshgYhjMJEEIpGvFpaRhgVSmrYL9KTNEdw+CTtB7XR&#10;iifFE3Fl/nAB7Q0dWCJI8O3um/LkQGEglF+X5RMeHcKAa4oRUqk5qriNwtzDOlWuowPWxGZMgMxG&#10;pATKcRZdw7KRzTCQ4FrDBZnGElCag5CWNXGONzBMsfyLapO5s80JrygKAncBpcHpgYzGSZfG0+U/&#10;ep3n8eYfAAAA//8DAFBLAwQUAAYACAAAACEACRZhE98AAAAJAQAADwAAAGRycy9kb3ducmV2Lnht&#10;bEyPT0vDQBDF74LfYRnBm92kNSoxm1KKeipCW0G8TZNpEpqdDdltkn57pyc9zZ83vPm9bDnZVg3U&#10;+8axgXgWgSIuXNlwZeBr//7wAsoH5BJbx2TgQh6W+e1NhmnpRt7SsAuVEhP2KRqoQ+hSrX1Rk0U/&#10;cx2xaEfXWwwy9pUuexzF3LZ6HkVP2mLD8qHGjtY1Fafd2Rr4GHFcLeK3YXM6ri8/++TzexOTMfd3&#10;0+oVVKAp/B3DFV/QIRemgztz6VVr4HkuUYKBZCH1qsfJo3QH2SQR6DzT/xPkvwAAAP//AwBQSwEC&#10;LQAUAAYACAAAACEAtoM4kv4AAADhAQAAEwAAAAAAAAAAAAAAAAAAAAAAW0NvbnRlbnRfVHlwZXNd&#10;LnhtbFBLAQItABQABgAIAAAAIQA4/SH/1gAAAJQBAAALAAAAAAAAAAAAAAAAAC8BAABfcmVscy8u&#10;cmVsc1BLAQItABQABgAIAAAAIQBt3XfJYAIAANcFAAAOAAAAAAAAAAAAAAAAAC4CAABkcnMvZTJv&#10;RG9jLnhtbFBLAQItABQABgAIAAAAIQAJFmET3wAAAAkBAAAPAAAAAAAAAAAAAAAAALoEAABkcnMv&#10;ZG93bnJldi54bWxQSwUGAAAAAAQABADzAAAAxgUAAAAA&#10;">
              <v:shape id="Shape 7971" o:spid="_x0000_s1027" style="position:absolute;width:68707;height:0;visibility:visible;mso-wrap-style:square;v-text-anchor:top" coordsize="6870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u2xgAAAN0AAAAPAAAAZHJzL2Rvd25yZXYueG1sRI9Ba8JA&#10;FITvBf/D8gq96SYWqkZXEanUXhQTD3p7ZJ9JaPZt2N1q+u+7BaHHYWa+YRar3rTiRs43lhWkowQE&#10;cWl1w5WCU7EdTkH4gKyxtUwKfsjDajl4WmCm7Z2PdMtDJSKEfYYK6hC6TEpf1mTQj2xHHL2rdQZD&#10;lK6S2uE9wk0rx0nyJg02HBdq7GhTU/mVfxsF449z8fqpt6Ywl3R/cPvN7vyeK/Xy3K/nIAL14T/8&#10;aO+0gslsksLfm/gE5PIXAAD//wMAUEsBAi0AFAAGAAgAAAAhANvh9svuAAAAhQEAABMAAAAAAAAA&#10;AAAAAAAAAAAAAFtDb250ZW50X1R5cGVzXS54bWxQSwECLQAUAAYACAAAACEAWvQsW78AAAAVAQAA&#10;CwAAAAAAAAAAAAAAAAAfAQAAX3JlbHMvLnJlbHNQSwECLQAUAAYACAAAACEA0XZLtsYAAADdAAAA&#10;DwAAAAAAAAAAAAAAAAAHAgAAZHJzL2Rvd25yZXYueG1sUEsFBgAAAAADAAMAtwAAAPoCAAAAAA==&#10;" path="m,l6870700,e" filled="f" strokecolor="#136191" strokeweight="1pt">
                <v:stroke miterlimit="1" joinstyle="miter"/>
                <v:path arrowok="t" textboxrect="0,0,687070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73" w:rsidRDefault="000D5573">
    <w:pPr>
      <w:spacing w:after="0" w:line="259" w:lineRule="auto"/>
      <w:ind w:left="-720" w:right="10323" w:firstLine="0"/>
    </w:pPr>
    <w:r>
      <w:rPr>
        <w:noProof/>
        <w:color w:val="000000"/>
        <w:sz w:val="22"/>
      </w:rPr>
      <mc:AlternateContent>
        <mc:Choice Requires="wpg">
          <w:drawing>
            <wp:anchor distT="0" distB="0" distL="114300" distR="114300" simplePos="0" relativeHeight="251659264" behindDoc="0" locked="0" layoutInCell="1" allowOverlap="1" wp14:anchorId="7E551388" wp14:editId="20DB3CC6">
              <wp:simplePos x="0" y="0"/>
              <wp:positionH relativeFrom="page">
                <wp:posOffset>457200</wp:posOffset>
              </wp:positionH>
              <wp:positionV relativeFrom="page">
                <wp:posOffset>336550</wp:posOffset>
              </wp:positionV>
              <wp:extent cx="6870700" cy="12700"/>
              <wp:effectExtent l="0" t="0" r="0" b="0"/>
              <wp:wrapSquare wrapText="bothSides"/>
              <wp:docPr id="7964" name="Group 7964"/>
              <wp:cNvGraphicFramePr/>
              <a:graphic xmlns:a="http://schemas.openxmlformats.org/drawingml/2006/main">
                <a:graphicData uri="http://schemas.microsoft.com/office/word/2010/wordprocessingGroup">
                  <wpg:wgp>
                    <wpg:cNvGrpSpPr/>
                    <wpg:grpSpPr>
                      <a:xfrm>
                        <a:off x="0" y="0"/>
                        <a:ext cx="6870700" cy="12700"/>
                        <a:chOff x="0" y="0"/>
                        <a:chExt cx="6870700" cy="12700"/>
                      </a:xfrm>
                    </wpg:grpSpPr>
                    <wps:wsp>
                      <wps:cNvPr id="7965" name="Shape 7965"/>
                      <wps:cNvSpPr/>
                      <wps:spPr>
                        <a:xfrm>
                          <a:off x="0" y="0"/>
                          <a:ext cx="6870700" cy="0"/>
                        </a:xfrm>
                        <a:custGeom>
                          <a:avLst/>
                          <a:gdLst/>
                          <a:ahLst/>
                          <a:cxnLst/>
                          <a:rect l="0" t="0" r="0" b="0"/>
                          <a:pathLst>
                            <a:path w="6870700">
                              <a:moveTo>
                                <a:pt x="0" y="0"/>
                              </a:moveTo>
                              <a:lnTo>
                                <a:pt x="6870700" y="0"/>
                              </a:lnTo>
                            </a:path>
                          </a:pathLst>
                        </a:custGeom>
                        <a:ln w="12700" cap="flat">
                          <a:miter lim="100000"/>
                        </a:ln>
                      </wps:spPr>
                      <wps:style>
                        <a:lnRef idx="1">
                          <a:srgbClr val="136191"/>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4434B5" id="Group 7964" o:spid="_x0000_s1026" style="position:absolute;margin-left:36pt;margin-top:26.5pt;width:541pt;height:1pt;z-index:251659264;mso-position-horizontal-relative:page;mso-position-vertical-relative:page" coordsize="6870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TqYQIAANcFAAAOAAAAZHJzL2Uyb0RvYy54bWykVE1v2zAMvQ/YfxB8X2yna9IacXpot1yG&#10;rWi7H6DIkm1AX5CUOPn3o+iPBAnQQ+aDTUvk4+MTxdXTQUmy5863RpdJPssSwjUzVavrMvn78fPb&#10;Q0J8oLqi0mheJkfuk6f11y+rzhZ8bhojK+4IgGhfdLZMmhBskaaeNVxRPzOWa9gUxika4NfVaeVo&#10;B+hKpvMsW6SdcZV1hnHvYfWl30zWiC8EZ+GPEJ4HIssEuAV8O3xv4ztdr2hRO2qblg006A0sFG01&#10;JJ2gXmigZOfaKyjVMme8EWHGjEqNEC3jWANUk2cX1Wyc2VmspS662k4ygbQXOt0My37vXx1pqzJZ&#10;Pi6+J0RTBaeEiQmugECdrQvw2zj7bl/dsFD3f7Hmg3AqfqEackBpj5O0/BAIg8XFwzJbZnACDPby&#10;eTRRetbA+VxFsebHp3HpmDSN3CYqnYUm8ied/P/p9N5Qy1F+H+s/6XQ/6oQeUaf7WE1MD36TSL7w&#10;oNdNCqE6U5W0YDsfNtygzHT/ywcUr65GizajxQ56NB10/6d9b2mIcZFhNEl3Oqe4psyefxjcDRdH&#10;BNROu1Kfe00nPTYB+PYeYMQ069VgYGqwz4uTOrLoG4QwChNBSBrwaqk2wKiQrYL9LD5RcwSHT9S+&#10;VxutcJQ8Epf6jQtob+jAHEG8q7fP0pE9hYGQ3y3yx3yCAdcYI1opp6jsOgpz9+tU2ob2WCObIQEy&#10;G5AiKMdZdAnLBjb9QIJrDRdkHEtQ2RSEtIwOU7yGYYq8z6qN5tZUR7yiKAjcBZQGpwcyGiZdHE/n&#10;/+h1msfrfwAAAP//AwBQSwMEFAAGAAgAAAAhAAkWYRPfAAAACQEAAA8AAABkcnMvZG93bnJldi54&#10;bWxMj09Lw0AQxe+C32EZwZvdpDUqMZtSinoqQltBvE2TaRKanQ3ZbZJ+e6cnPc2fN7z5vWw52VYN&#10;1PvGsYF4FoEiLlzZcGXga//+8ALKB+QSW8dk4EIelvntTYZp6Ube0rALlRIT9ikaqEPoUq19UZNF&#10;P3MdsWhH11sMMvaVLnscxdy2eh5FT9piw/Khxo7WNRWn3dka+BhxXC3it2FzOq4vP/vk83sTkzH3&#10;d9PqFVSgKfwdwxVf0CEXpoM7c+lVa+B5LlGCgWQh9arHyaN0B9kkEeg80/8T5L8AAAD//wMAUEsB&#10;Ai0AFAAGAAgAAAAhALaDOJL+AAAA4QEAABMAAAAAAAAAAAAAAAAAAAAAAFtDb250ZW50X1R5cGVz&#10;XS54bWxQSwECLQAUAAYACAAAACEAOP0h/9YAAACUAQAACwAAAAAAAAAAAAAAAAAvAQAAX3JlbHMv&#10;LnJlbHNQSwECLQAUAAYACAAAACEAgwKE6mECAADXBQAADgAAAAAAAAAAAAAAAAAuAgAAZHJzL2Uy&#10;b0RvYy54bWxQSwECLQAUAAYACAAAACEACRZhE98AAAAJAQAADwAAAAAAAAAAAAAAAAC7BAAAZHJz&#10;L2Rvd25yZXYueG1sUEsFBgAAAAAEAAQA8wAAAMcFAAAAAA==&#10;">
              <v:shape id="Shape 7965" o:spid="_x0000_s1027" style="position:absolute;width:68707;height:0;visibility:visible;mso-wrap-style:square;v-text-anchor:top" coordsize="6870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toxwAAAN0AAAAPAAAAZHJzL2Rvd25yZXYueG1sRI9Ba8JA&#10;FITvBf/D8gq9mY0WtU1dpUilelGa9GBvj+xrEsy+Dbtbjf/eFYQeh5n5hpkve9OKEznfWFYwSlIQ&#10;xKXVDVcKvov18AWED8gaW8uk4EIelovBwxwzbc/8Rac8VCJC2GeooA6hy6T0ZU0GfWI74uj9Wmcw&#10;ROkqqR2eI9y0cpymU2mw4bhQY0ermspj/mcUjD8PxfNWr01hfka7vdutNoePXKmnx/79DUSgPvyH&#10;7+2NVjB7nU7g9iY+Abm4AgAA//8DAFBLAQItABQABgAIAAAAIQDb4fbL7gAAAIUBAAATAAAAAAAA&#10;AAAAAAAAAAAAAABbQ29udGVudF9UeXBlc10ueG1sUEsBAi0AFAAGAAgAAAAhAFr0LFu/AAAAFQEA&#10;AAsAAAAAAAAAAAAAAAAAHwEAAF9yZWxzLy5yZWxzUEsBAi0AFAAGAAgAAAAhACuU22jHAAAA3QAA&#10;AA8AAAAAAAAAAAAAAAAABwIAAGRycy9kb3ducmV2LnhtbFBLBQYAAAAAAwADALcAAAD7AgAAAAA=&#10;" path="m,l6870700,e" filled="f" strokecolor="#136191" strokeweight="1pt">
                <v:stroke miterlimit="1" joinstyle="miter"/>
                <v:path arrowok="t" textboxrect="0,0,687070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73" w:rsidRDefault="000D5573">
    <w:pPr>
      <w:spacing w:after="0" w:line="259" w:lineRule="auto"/>
      <w:ind w:left="-720" w:right="10323" w:firstLine="0"/>
    </w:pPr>
    <w:r>
      <w:rPr>
        <w:noProof/>
        <w:color w:val="000000"/>
        <w:sz w:val="22"/>
      </w:rPr>
      <mc:AlternateContent>
        <mc:Choice Requires="wpg">
          <w:drawing>
            <wp:anchor distT="0" distB="0" distL="114300" distR="114300" simplePos="0" relativeHeight="251660288" behindDoc="0" locked="0" layoutInCell="1" allowOverlap="1" wp14:anchorId="15B72EDB" wp14:editId="2F8D4081">
              <wp:simplePos x="0" y="0"/>
              <wp:positionH relativeFrom="page">
                <wp:posOffset>457200</wp:posOffset>
              </wp:positionH>
              <wp:positionV relativeFrom="page">
                <wp:posOffset>336550</wp:posOffset>
              </wp:positionV>
              <wp:extent cx="6870700" cy="12700"/>
              <wp:effectExtent l="0" t="0" r="0" b="0"/>
              <wp:wrapSquare wrapText="bothSides"/>
              <wp:docPr id="7958" name="Group 7958"/>
              <wp:cNvGraphicFramePr/>
              <a:graphic xmlns:a="http://schemas.openxmlformats.org/drawingml/2006/main">
                <a:graphicData uri="http://schemas.microsoft.com/office/word/2010/wordprocessingGroup">
                  <wpg:wgp>
                    <wpg:cNvGrpSpPr/>
                    <wpg:grpSpPr>
                      <a:xfrm>
                        <a:off x="0" y="0"/>
                        <a:ext cx="6870700" cy="12700"/>
                        <a:chOff x="0" y="0"/>
                        <a:chExt cx="6870700" cy="12700"/>
                      </a:xfrm>
                    </wpg:grpSpPr>
                    <wps:wsp>
                      <wps:cNvPr id="7959" name="Shape 7959"/>
                      <wps:cNvSpPr/>
                      <wps:spPr>
                        <a:xfrm>
                          <a:off x="0" y="0"/>
                          <a:ext cx="6870700" cy="0"/>
                        </a:xfrm>
                        <a:custGeom>
                          <a:avLst/>
                          <a:gdLst/>
                          <a:ahLst/>
                          <a:cxnLst/>
                          <a:rect l="0" t="0" r="0" b="0"/>
                          <a:pathLst>
                            <a:path w="6870700">
                              <a:moveTo>
                                <a:pt x="0" y="0"/>
                              </a:moveTo>
                              <a:lnTo>
                                <a:pt x="6870700" y="0"/>
                              </a:lnTo>
                            </a:path>
                          </a:pathLst>
                        </a:custGeom>
                        <a:ln w="12700" cap="flat">
                          <a:miter lim="100000"/>
                        </a:ln>
                      </wps:spPr>
                      <wps:style>
                        <a:lnRef idx="1">
                          <a:srgbClr val="136191"/>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C358EF" id="Group 7958" o:spid="_x0000_s1026" style="position:absolute;margin-left:36pt;margin-top:26.5pt;width:541pt;height:1pt;z-index:251660288;mso-position-horizontal-relative:page;mso-position-vertical-relative:page" coordsize="6870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COYAIAANcFAAAOAAAAZHJzL2Uyb0RvYy54bWykVMlu2zAQvRfoPxC6x5Ic1I4Fyzk0rS9F&#10;GzTJB9AUKQngBpK27L/vcLTYsIEcXB2oITnLmzfDWT8flSQH7nxrdJnksywhXDNTtbouk4/3nw9P&#10;CfGB6opKo3mZnLhPnjdfv6w7W/C5aYysuCPgRPuis2XShGCLNPWs4Yr6mbFcw6UwTtEAW1enlaMd&#10;eFcynWfZIu2Mq6wzjHsPpy/9ZbJB/0JwFv4I4XkgskwAW8DV4bqLa7pZ06J21DYtG2DQO1Ao2moI&#10;Orl6oYGSvWtvXKmWOeONCDNmVGqEaBnHHCCbPLvKZuvM3mIuddHVdqIJqL3i6W637Pfh1ZG2KpPl&#10;6hvUSlMFVcLABE+AoM7WBehtnX2zr244qPtdzPkonIp/yIYckdrTRC0/BsLgcPG0zJYZVIDBXT6P&#10;IlLPGqjPjRVrfnxql45B04htgtJZaCJ/5sn/H09vDbUc6fcx/zNPq5En1Ig8rWI2MTzoTST5wgNf&#10;dzGE7ExZ0oLtfdhygzTTwy8fkLy6GiXajBI76lF00P2f9r2lIdpFhFEk3blO8UyZA383eBuuSgTQ&#10;zrdSX2pNlR6bAHR7DRBimM16EDA0yJfJSR1R9A1CGIWJICQN+LRUG2BUyFbBfRa/yDk6h1/kvmcb&#10;pXCSPAKX+i8X0N7QgTk68a7efZeOHCgMhPxxka/yyQ2oRhvRSjlZZbdWGLs/p9I2tPc1ohkCILLB&#10;U3TKcRZdu2UDmn4gwbOGBzKOJchsMkJYRofJXsMwRdwX2UZxZ6oTPlEkBN4CUoPTAxENky6Op8s9&#10;ap3n8eYfAAAA//8DAFBLAwQUAAYACAAAACEACRZhE98AAAAJAQAADwAAAGRycy9kb3ducmV2Lnht&#10;bEyPT0vDQBDF74LfYRnBm92kNSoxm1KKeipCW0G8TZNpEpqdDdltkn57pyc9zZ83vPm9bDnZVg3U&#10;+8axgXgWgSIuXNlwZeBr//7wAsoH5BJbx2TgQh6W+e1NhmnpRt7SsAuVEhP2KRqoQ+hSrX1Rk0U/&#10;cx2xaEfXWwwy9pUuexzF3LZ6HkVP2mLD8qHGjtY1Fafd2Rr4GHFcLeK3YXM6ri8/++TzexOTMfd3&#10;0+oVVKAp/B3DFV/QIRemgztz6VVr4HkuUYKBZCH1qsfJo3QH2SQR6DzT/xPkvwAAAP//AwBQSwEC&#10;LQAUAAYACAAAACEAtoM4kv4AAADhAQAAEwAAAAAAAAAAAAAAAAAAAAAAW0NvbnRlbnRfVHlwZXNd&#10;LnhtbFBLAQItABQABgAIAAAAIQA4/SH/1gAAAJQBAAALAAAAAAAAAAAAAAAAAC8BAABfcmVscy8u&#10;cmVsc1BLAQItABQABgAIAAAAIQCxYpCOYAIAANcFAAAOAAAAAAAAAAAAAAAAAC4CAABkcnMvZTJv&#10;RG9jLnhtbFBLAQItABQABgAIAAAAIQAJFmET3wAAAAkBAAAPAAAAAAAAAAAAAAAAALoEAABkcnMv&#10;ZG93bnJldi54bWxQSwUGAAAAAAQABADzAAAAxgUAAAAA&#10;">
              <v:shape id="Shape 7959" o:spid="_x0000_s1027" style="position:absolute;width:68707;height:0;visibility:visible;mso-wrap-style:square;v-text-anchor:top" coordsize="6870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vQxwAAAN0AAAAPAAAAZHJzL2Rvd25yZXYueG1sRI9Pa8JA&#10;FMTvBb/D8oTemo2W/jG6ikilerE08aC3R/aZBLNvw+5W02/fFYQeh5n5DTNb9KYVF3K+saxglKQg&#10;iEurG64U7Iv10zsIH5A1tpZJwS95WMwHDzPMtL3yN13yUIkIYZ+hgjqELpPSlzUZ9IntiKN3ss5g&#10;iNJVUju8Rrhp5ThNX6XBhuNCjR2tairP+Y9RMP48FM9bvTaFOY52X2632hw+cqUeh/1yCiJQH/7D&#10;9/ZGK3ibvEzg9iY+ATn/AwAA//8DAFBLAQItABQABgAIAAAAIQDb4fbL7gAAAIUBAAATAAAAAAAA&#10;AAAAAAAAAAAAAABbQ29udGVudF9UeXBlc10ueG1sUEsBAi0AFAAGAAgAAAAhAFr0LFu/AAAAFQEA&#10;AAsAAAAAAAAAAAAAAAAAHwEAAF9yZWxzLy5yZWxzUEsBAi0AFAAGAAgAAAAhAGS1G9DHAAAA3QAA&#10;AA8AAAAAAAAAAAAAAAAABwIAAGRycy9kb3ducmV2LnhtbFBLBQYAAAAAAwADALcAAAD7AgAAAAA=&#10;" path="m,l6870700,e" filled="f" strokecolor="#136191" strokeweight="1pt">
                <v:stroke miterlimit="1" joinstyle="miter"/>
                <v:path arrowok="t" textboxrect="0,0,6870700,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7E7"/>
    <w:multiLevelType w:val="hybridMultilevel"/>
    <w:tmpl w:val="C7B87512"/>
    <w:lvl w:ilvl="0" w:tplc="CD40C6B6">
      <w:start w:val="1"/>
      <w:numFmt w:val="bullet"/>
      <w:lvlText w:val="•"/>
      <w:lvlJc w:val="left"/>
      <w:pPr>
        <w:ind w:left="329"/>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CCCC2A94">
      <w:start w:val="1"/>
      <w:numFmt w:val="bullet"/>
      <w:lvlText w:val="o"/>
      <w:lvlJc w:val="left"/>
      <w:pPr>
        <w:ind w:left="1244"/>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B2FAD5BC">
      <w:start w:val="1"/>
      <w:numFmt w:val="bullet"/>
      <w:lvlText w:val="▪"/>
      <w:lvlJc w:val="left"/>
      <w:pPr>
        <w:ind w:left="1964"/>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132E2EDA">
      <w:start w:val="1"/>
      <w:numFmt w:val="bullet"/>
      <w:lvlText w:val="•"/>
      <w:lvlJc w:val="left"/>
      <w:pPr>
        <w:ind w:left="2684"/>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E2EAC4BE">
      <w:start w:val="1"/>
      <w:numFmt w:val="bullet"/>
      <w:lvlText w:val="o"/>
      <w:lvlJc w:val="left"/>
      <w:pPr>
        <w:ind w:left="3404"/>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236686A0">
      <w:start w:val="1"/>
      <w:numFmt w:val="bullet"/>
      <w:lvlText w:val="▪"/>
      <w:lvlJc w:val="left"/>
      <w:pPr>
        <w:ind w:left="4124"/>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2DF2082A">
      <w:start w:val="1"/>
      <w:numFmt w:val="bullet"/>
      <w:lvlText w:val="•"/>
      <w:lvlJc w:val="left"/>
      <w:pPr>
        <w:ind w:left="4844"/>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71E015B2">
      <w:start w:val="1"/>
      <w:numFmt w:val="bullet"/>
      <w:lvlText w:val="o"/>
      <w:lvlJc w:val="left"/>
      <w:pPr>
        <w:ind w:left="5564"/>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9B9A133C">
      <w:start w:val="1"/>
      <w:numFmt w:val="bullet"/>
      <w:lvlText w:val="▪"/>
      <w:lvlJc w:val="left"/>
      <w:pPr>
        <w:ind w:left="6284"/>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D6"/>
    <w:rsid w:val="00041930"/>
    <w:rsid w:val="00067C27"/>
    <w:rsid w:val="000A5F44"/>
    <w:rsid w:val="000D4268"/>
    <w:rsid w:val="000D5573"/>
    <w:rsid w:val="000F224F"/>
    <w:rsid w:val="0013238A"/>
    <w:rsid w:val="00206D59"/>
    <w:rsid w:val="002C5BD8"/>
    <w:rsid w:val="00377D9D"/>
    <w:rsid w:val="00382077"/>
    <w:rsid w:val="0044152C"/>
    <w:rsid w:val="004A7292"/>
    <w:rsid w:val="004B6665"/>
    <w:rsid w:val="005508F0"/>
    <w:rsid w:val="00596B8D"/>
    <w:rsid w:val="005D7064"/>
    <w:rsid w:val="00616DD6"/>
    <w:rsid w:val="006431E9"/>
    <w:rsid w:val="00734AFD"/>
    <w:rsid w:val="00735316"/>
    <w:rsid w:val="007D6469"/>
    <w:rsid w:val="007E14C4"/>
    <w:rsid w:val="0087498E"/>
    <w:rsid w:val="009E77EE"/>
    <w:rsid w:val="009F2B75"/>
    <w:rsid w:val="009F5D62"/>
    <w:rsid w:val="00B14DFF"/>
    <w:rsid w:val="00BC5F2C"/>
    <w:rsid w:val="00CB1B6C"/>
    <w:rsid w:val="00CC5DC9"/>
    <w:rsid w:val="00CE68ED"/>
    <w:rsid w:val="00D02B94"/>
    <w:rsid w:val="00DB4811"/>
    <w:rsid w:val="00DC2A97"/>
    <w:rsid w:val="00E3589F"/>
    <w:rsid w:val="00EA64BB"/>
    <w:rsid w:val="00EB20D8"/>
    <w:rsid w:val="00EC4C5A"/>
    <w:rsid w:val="00ED4F8F"/>
    <w:rsid w:val="00F13103"/>
    <w:rsid w:val="00F82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B99C0-DBAA-4623-949F-74683CC1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8" w:line="256" w:lineRule="auto"/>
      <w:ind w:left="10" w:right="88" w:hanging="10"/>
    </w:pPr>
    <w:rPr>
      <w:rFonts w:ascii="Calibri" w:eastAsia="Calibri" w:hAnsi="Calibri" w:cs="Calibri"/>
      <w:color w:val="181717"/>
      <w:sz w:val="17"/>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1361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36191"/>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C5F2C"/>
    <w:rPr>
      <w:color w:val="0563C1" w:themeColor="hyperlink"/>
      <w:u w:val="single"/>
    </w:rPr>
  </w:style>
  <w:style w:type="character" w:customStyle="1" w:styleId="UnresolvedMention">
    <w:name w:val="Unresolved Mention"/>
    <w:basedOn w:val="DefaultParagraphFont"/>
    <w:uiPriority w:val="99"/>
    <w:semiHidden/>
    <w:unhideWhenUsed/>
    <w:rsid w:val="00BC5F2C"/>
    <w:rPr>
      <w:color w:val="605E5C"/>
      <w:shd w:val="clear" w:color="auto" w:fill="E1DFDD"/>
    </w:rPr>
  </w:style>
  <w:style w:type="paragraph" w:styleId="BalloonText">
    <w:name w:val="Balloon Text"/>
    <w:basedOn w:val="Normal"/>
    <w:link w:val="BalloonTextChar"/>
    <w:uiPriority w:val="99"/>
    <w:semiHidden/>
    <w:unhideWhenUsed/>
    <w:rsid w:val="00F1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103"/>
    <w:rPr>
      <w:rFonts w:ascii="Segoe UI" w:eastAsia="Calibri" w:hAnsi="Segoe UI" w:cs="Segoe UI"/>
      <w:color w:val="181717"/>
      <w:sz w:val="18"/>
      <w:szCs w:val="18"/>
    </w:rPr>
  </w:style>
  <w:style w:type="character" w:styleId="CommentReference">
    <w:name w:val="annotation reference"/>
    <w:basedOn w:val="DefaultParagraphFont"/>
    <w:uiPriority w:val="99"/>
    <w:semiHidden/>
    <w:unhideWhenUsed/>
    <w:rsid w:val="004A7292"/>
    <w:rPr>
      <w:sz w:val="16"/>
      <w:szCs w:val="16"/>
    </w:rPr>
  </w:style>
  <w:style w:type="paragraph" w:styleId="CommentText">
    <w:name w:val="annotation text"/>
    <w:basedOn w:val="Normal"/>
    <w:link w:val="CommentTextChar"/>
    <w:uiPriority w:val="99"/>
    <w:semiHidden/>
    <w:unhideWhenUsed/>
    <w:rsid w:val="004A7292"/>
    <w:pPr>
      <w:spacing w:line="240" w:lineRule="auto"/>
    </w:pPr>
    <w:rPr>
      <w:sz w:val="20"/>
      <w:szCs w:val="20"/>
    </w:rPr>
  </w:style>
  <w:style w:type="character" w:customStyle="1" w:styleId="CommentTextChar">
    <w:name w:val="Comment Text Char"/>
    <w:basedOn w:val="DefaultParagraphFont"/>
    <w:link w:val="CommentText"/>
    <w:uiPriority w:val="99"/>
    <w:semiHidden/>
    <w:rsid w:val="004A7292"/>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4A7292"/>
    <w:rPr>
      <w:b/>
      <w:bCs/>
    </w:rPr>
  </w:style>
  <w:style w:type="character" w:customStyle="1" w:styleId="CommentSubjectChar">
    <w:name w:val="Comment Subject Char"/>
    <w:basedOn w:val="CommentTextChar"/>
    <w:link w:val="CommentSubject"/>
    <w:uiPriority w:val="99"/>
    <w:semiHidden/>
    <w:rsid w:val="004A7292"/>
    <w:rPr>
      <w:rFonts w:ascii="Calibri" w:eastAsia="Calibri" w:hAnsi="Calibri" w:cs="Calibri"/>
      <w:b/>
      <w:bCs/>
      <w:color w:val="181717"/>
      <w:sz w:val="20"/>
      <w:szCs w:val="20"/>
    </w:rPr>
  </w:style>
  <w:style w:type="paragraph" w:styleId="Revision">
    <w:name w:val="Revision"/>
    <w:hidden/>
    <w:uiPriority w:val="99"/>
    <w:semiHidden/>
    <w:rsid w:val="004A7292"/>
    <w:pPr>
      <w:spacing w:after="0" w:line="240" w:lineRule="auto"/>
    </w:pPr>
    <w:rPr>
      <w:rFonts w:ascii="Calibri" w:eastAsia="Calibri" w:hAnsi="Calibri" w:cs="Calibri"/>
      <w:color w:val="181717"/>
      <w:sz w:val="17"/>
    </w:rPr>
  </w:style>
  <w:style w:type="character" w:styleId="FollowedHyperlink">
    <w:name w:val="FollowedHyperlink"/>
    <w:basedOn w:val="DefaultParagraphFont"/>
    <w:uiPriority w:val="99"/>
    <w:semiHidden/>
    <w:unhideWhenUsed/>
    <w:rsid w:val="004A7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eralreserve.gov/monetarypolicy/fomcprojtabl20201216.ht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philadelphiafed.org/research-and-data/"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West Michigan Confidence Index</a:t>
            </a:r>
            <a:r>
              <a:rPr lang="en-US" baseline="0"/>
              <a:t> Forecast 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5840036986629434E-2"/>
          <c:y val="7.3020529541146559E-2"/>
          <c:w val="0.92802105705559579"/>
          <c:h val="0.75395744336461312"/>
        </c:manualLayout>
      </c:layout>
      <c:lineChart>
        <c:grouping val="standard"/>
        <c:varyColors val="0"/>
        <c:ser>
          <c:idx val="0"/>
          <c:order val="0"/>
          <c:tx>
            <c:strRef>
              <c:f>'GRAPHS DATA'!$A$32</c:f>
              <c:strCache>
                <c:ptCount val="1"/>
                <c:pt idx="0">
                  <c:v>Government and Non Profit</c:v>
                </c:pt>
              </c:strCache>
            </c:strRef>
          </c:tx>
          <c:spPr>
            <a:ln w="28575" cap="rnd">
              <a:solidFill>
                <a:schemeClr val="accent1"/>
              </a:solidFill>
              <a:round/>
            </a:ln>
            <a:effectLst/>
          </c:spPr>
          <c:marker>
            <c:symbol val="none"/>
          </c:marker>
          <c:cat>
            <c:strRef>
              <c:f>'GRAPHS DATA'!$B$31:$AB$31</c:f>
              <c:strCache>
                <c:ptCount val="21"/>
                <c:pt idx="0">
                  <c:v>December 2001</c:v>
                </c:pt>
                <c:pt idx="1">
                  <c:v>December 2002</c:v>
                </c:pt>
                <c:pt idx="2">
                  <c:v>December 2003</c:v>
                </c:pt>
                <c:pt idx="3">
                  <c:v>December 2004</c:v>
                </c:pt>
                <c:pt idx="4">
                  <c:v>December 2005</c:v>
                </c:pt>
                <c:pt idx="5">
                  <c:v>December 2006</c:v>
                </c:pt>
                <c:pt idx="6">
                  <c:v>December 2007</c:v>
                </c:pt>
                <c:pt idx="7">
                  <c:v>December 2008</c:v>
                </c:pt>
                <c:pt idx="8">
                  <c:v>December 2009</c:v>
                </c:pt>
                <c:pt idx="9">
                  <c:v>December 2010</c:v>
                </c:pt>
                <c:pt idx="10">
                  <c:v>November 2011</c:v>
                </c:pt>
                <c:pt idx="11">
                  <c:v>November 2012</c:v>
                </c:pt>
                <c:pt idx="12">
                  <c:v>November 2013</c:v>
                </c:pt>
                <c:pt idx="13">
                  <c:v>November 2014</c:v>
                </c:pt>
                <c:pt idx="14">
                  <c:v>November 2015</c:v>
                </c:pt>
                <c:pt idx="15">
                  <c:v>November 2016</c:v>
                </c:pt>
                <c:pt idx="16">
                  <c:v>November 2017</c:v>
                </c:pt>
                <c:pt idx="17">
                  <c:v>November 2018</c:v>
                </c:pt>
                <c:pt idx="18">
                  <c:v>November 2019</c:v>
                </c:pt>
                <c:pt idx="19">
                  <c:v>November 2020</c:v>
                </c:pt>
                <c:pt idx="20">
                  <c:v>Forecast 2021</c:v>
                </c:pt>
              </c:strCache>
            </c:strRef>
          </c:cat>
          <c:val>
            <c:numRef>
              <c:f>'GRAPHS DATA'!$B$32:$AB$32</c:f>
              <c:numCache>
                <c:formatCode>General</c:formatCode>
                <c:ptCount val="21"/>
                <c:pt idx="0">
                  <c:v>64.2</c:v>
                </c:pt>
                <c:pt idx="1">
                  <c:v>63.1</c:v>
                </c:pt>
                <c:pt idx="2">
                  <c:v>67.7</c:v>
                </c:pt>
                <c:pt idx="3">
                  <c:v>69.599999999999994</c:v>
                </c:pt>
                <c:pt idx="4">
                  <c:v>66.900000000000006</c:v>
                </c:pt>
                <c:pt idx="5">
                  <c:v>57</c:v>
                </c:pt>
                <c:pt idx="6">
                  <c:v>58.33</c:v>
                </c:pt>
                <c:pt idx="7">
                  <c:v>45.7</c:v>
                </c:pt>
                <c:pt idx="8" formatCode="0.00">
                  <c:v>48.514285714285712</c:v>
                </c:pt>
                <c:pt idx="9" formatCode="0.00">
                  <c:v>53.96</c:v>
                </c:pt>
                <c:pt idx="10">
                  <c:v>57.13</c:v>
                </c:pt>
                <c:pt idx="11" formatCode="0.00">
                  <c:v>58.61</c:v>
                </c:pt>
                <c:pt idx="12">
                  <c:v>68</c:v>
                </c:pt>
                <c:pt idx="13">
                  <c:v>75.45</c:v>
                </c:pt>
                <c:pt idx="14">
                  <c:v>77.099999999999994</c:v>
                </c:pt>
                <c:pt idx="15">
                  <c:v>77.400000000000006</c:v>
                </c:pt>
                <c:pt idx="16">
                  <c:v>80.599999999999994</c:v>
                </c:pt>
                <c:pt idx="17">
                  <c:v>82.8</c:v>
                </c:pt>
                <c:pt idx="18">
                  <c:v>81</c:v>
                </c:pt>
                <c:pt idx="19">
                  <c:v>72.099999999999994</c:v>
                </c:pt>
                <c:pt idx="20">
                  <c:v>72</c:v>
                </c:pt>
              </c:numCache>
            </c:numRef>
          </c:val>
          <c:smooth val="0"/>
          <c:extLst xmlns:c16r2="http://schemas.microsoft.com/office/drawing/2015/06/chart">
            <c:ext xmlns:c16="http://schemas.microsoft.com/office/drawing/2014/chart" uri="{C3380CC4-5D6E-409C-BE32-E72D297353CC}">
              <c16:uniqueId val="{00000000-FF4D-474B-8E28-C50DFEE4C98E}"/>
            </c:ext>
          </c:extLst>
        </c:ser>
        <c:ser>
          <c:idx val="1"/>
          <c:order val="1"/>
          <c:tx>
            <c:strRef>
              <c:f>'GRAPHS DATA'!$A$33</c:f>
              <c:strCache>
                <c:ptCount val="1"/>
                <c:pt idx="0">
                  <c:v>All Sectors excl. Govt/Non Profit</c:v>
                </c:pt>
              </c:strCache>
            </c:strRef>
          </c:tx>
          <c:spPr>
            <a:ln w="28575" cap="rnd">
              <a:solidFill>
                <a:schemeClr val="accent2"/>
              </a:solidFill>
              <a:round/>
            </a:ln>
            <a:effectLst/>
          </c:spPr>
          <c:marker>
            <c:symbol val="none"/>
          </c:marker>
          <c:cat>
            <c:strRef>
              <c:f>'GRAPHS DATA'!$B$31:$AB$31</c:f>
              <c:strCache>
                <c:ptCount val="21"/>
                <c:pt idx="0">
                  <c:v>December 2001</c:v>
                </c:pt>
                <c:pt idx="1">
                  <c:v>December 2002</c:v>
                </c:pt>
                <c:pt idx="2">
                  <c:v>December 2003</c:v>
                </c:pt>
                <c:pt idx="3">
                  <c:v>December 2004</c:v>
                </c:pt>
                <c:pt idx="4">
                  <c:v>December 2005</c:v>
                </c:pt>
                <c:pt idx="5">
                  <c:v>December 2006</c:v>
                </c:pt>
                <c:pt idx="6">
                  <c:v>December 2007</c:v>
                </c:pt>
                <c:pt idx="7">
                  <c:v>December 2008</c:v>
                </c:pt>
                <c:pt idx="8">
                  <c:v>December 2009</c:v>
                </c:pt>
                <c:pt idx="9">
                  <c:v>December 2010</c:v>
                </c:pt>
                <c:pt idx="10">
                  <c:v>November 2011</c:v>
                </c:pt>
                <c:pt idx="11">
                  <c:v>November 2012</c:v>
                </c:pt>
                <c:pt idx="12">
                  <c:v>November 2013</c:v>
                </c:pt>
                <c:pt idx="13">
                  <c:v>November 2014</c:v>
                </c:pt>
                <c:pt idx="14">
                  <c:v>November 2015</c:v>
                </c:pt>
                <c:pt idx="15">
                  <c:v>November 2016</c:v>
                </c:pt>
                <c:pt idx="16">
                  <c:v>November 2017</c:v>
                </c:pt>
                <c:pt idx="17">
                  <c:v>November 2018</c:v>
                </c:pt>
                <c:pt idx="18">
                  <c:v>November 2019</c:v>
                </c:pt>
                <c:pt idx="19">
                  <c:v>November 2020</c:v>
                </c:pt>
                <c:pt idx="20">
                  <c:v>Forecast 2021</c:v>
                </c:pt>
              </c:strCache>
            </c:strRef>
          </c:cat>
          <c:val>
            <c:numRef>
              <c:f>'GRAPHS DATA'!$B$33:$AB$33</c:f>
              <c:numCache>
                <c:formatCode>General</c:formatCode>
                <c:ptCount val="21"/>
                <c:pt idx="0">
                  <c:v>63.2</c:v>
                </c:pt>
                <c:pt idx="1">
                  <c:v>67.599999999999994</c:v>
                </c:pt>
                <c:pt idx="2">
                  <c:v>65.3</c:v>
                </c:pt>
                <c:pt idx="3">
                  <c:v>61.4</c:v>
                </c:pt>
                <c:pt idx="4">
                  <c:v>65.3</c:v>
                </c:pt>
                <c:pt idx="5">
                  <c:v>60.2</c:v>
                </c:pt>
                <c:pt idx="6">
                  <c:v>55.77</c:v>
                </c:pt>
                <c:pt idx="7" formatCode="0.00">
                  <c:v>48.036585365853661</c:v>
                </c:pt>
                <c:pt idx="8" formatCode="0.00">
                  <c:v>48.885906040268459</c:v>
                </c:pt>
                <c:pt idx="9" formatCode="0.00">
                  <c:v>55.26</c:v>
                </c:pt>
                <c:pt idx="10" formatCode="0.00">
                  <c:v>57.62</c:v>
                </c:pt>
                <c:pt idx="11">
                  <c:v>63.35</c:v>
                </c:pt>
                <c:pt idx="12">
                  <c:v>67.849999999999994</c:v>
                </c:pt>
                <c:pt idx="13">
                  <c:v>75</c:v>
                </c:pt>
                <c:pt idx="14">
                  <c:v>77.540000000000006</c:v>
                </c:pt>
                <c:pt idx="15">
                  <c:v>78.599999999999994</c:v>
                </c:pt>
                <c:pt idx="16">
                  <c:v>80.5</c:v>
                </c:pt>
                <c:pt idx="17">
                  <c:v>82.3</c:v>
                </c:pt>
                <c:pt idx="18">
                  <c:v>80.5</c:v>
                </c:pt>
                <c:pt idx="19">
                  <c:v>70.400000000000006</c:v>
                </c:pt>
                <c:pt idx="20">
                  <c:v>74.2</c:v>
                </c:pt>
              </c:numCache>
            </c:numRef>
          </c:val>
          <c:smooth val="0"/>
          <c:extLst xmlns:c16r2="http://schemas.microsoft.com/office/drawing/2015/06/chart">
            <c:ext xmlns:c16="http://schemas.microsoft.com/office/drawing/2014/chart" uri="{C3380CC4-5D6E-409C-BE32-E72D297353CC}">
              <c16:uniqueId val="{00000001-FF4D-474B-8E28-C50DFEE4C98E}"/>
            </c:ext>
          </c:extLst>
        </c:ser>
        <c:dLbls>
          <c:showLegendKey val="0"/>
          <c:showVal val="0"/>
          <c:showCatName val="0"/>
          <c:showSerName val="0"/>
          <c:showPercent val="0"/>
          <c:showBubbleSize val="0"/>
        </c:dLbls>
        <c:smooth val="0"/>
        <c:axId val="623311160"/>
        <c:axId val="623314296"/>
      </c:lineChart>
      <c:catAx>
        <c:axId val="623311160"/>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314296"/>
        <c:crosses val="autoZero"/>
        <c:auto val="1"/>
        <c:lblAlgn val="ctr"/>
        <c:lblOffset val="100"/>
        <c:noMultiLvlLbl val="0"/>
      </c:catAx>
      <c:valAx>
        <c:axId val="623314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311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Figure 2: Confidence by Industry</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 DATA'!$B$36</c:f>
              <c:strCache>
                <c:ptCount val="1"/>
                <c:pt idx="0">
                  <c:v>End 2020 Confidence</c:v>
                </c:pt>
              </c:strCache>
            </c:strRef>
          </c:tx>
          <c:spPr>
            <a:solidFill>
              <a:schemeClr val="accent1"/>
            </a:solidFill>
            <a:ln>
              <a:noFill/>
            </a:ln>
            <a:effectLst/>
          </c:spPr>
          <c:invertIfNegative val="0"/>
          <c:cat>
            <c:strRef>
              <c:f>'GRAPHS DATA'!$A$37:$A$41</c:f>
              <c:strCache>
                <c:ptCount val="5"/>
                <c:pt idx="0">
                  <c:v>Healthcare</c:v>
                </c:pt>
                <c:pt idx="1">
                  <c:v>Manufacturing</c:v>
                </c:pt>
                <c:pt idx="2">
                  <c:v>Construction</c:v>
                </c:pt>
                <c:pt idx="3">
                  <c:v>Wholesale/Retail</c:v>
                </c:pt>
                <c:pt idx="4">
                  <c:v>Restaurants</c:v>
                </c:pt>
              </c:strCache>
            </c:strRef>
          </c:cat>
          <c:val>
            <c:numRef>
              <c:f>'GRAPHS DATA'!$B$37:$B$41</c:f>
              <c:numCache>
                <c:formatCode>0%</c:formatCode>
                <c:ptCount val="5"/>
                <c:pt idx="0">
                  <c:v>0.72500000000000009</c:v>
                </c:pt>
                <c:pt idx="1">
                  <c:v>0.71461538461538465</c:v>
                </c:pt>
                <c:pt idx="2">
                  <c:v>0.78615384615384609</c:v>
                </c:pt>
                <c:pt idx="3">
                  <c:v>0.64500000000000002</c:v>
                </c:pt>
                <c:pt idx="4">
                  <c:v>0.55999999999999994</c:v>
                </c:pt>
              </c:numCache>
            </c:numRef>
          </c:val>
          <c:extLst xmlns:c16r2="http://schemas.microsoft.com/office/drawing/2015/06/chart">
            <c:ext xmlns:c16="http://schemas.microsoft.com/office/drawing/2014/chart" uri="{C3380CC4-5D6E-409C-BE32-E72D297353CC}">
              <c16:uniqueId val="{00000000-B9CC-488B-8A51-03AB691B8CC0}"/>
            </c:ext>
          </c:extLst>
        </c:ser>
        <c:ser>
          <c:idx val="1"/>
          <c:order val="1"/>
          <c:tx>
            <c:strRef>
              <c:f>'GRAPHS DATA'!$C$36</c:f>
              <c:strCache>
                <c:ptCount val="1"/>
                <c:pt idx="0">
                  <c:v>2021 Confidence</c:v>
                </c:pt>
              </c:strCache>
            </c:strRef>
          </c:tx>
          <c:spPr>
            <a:solidFill>
              <a:schemeClr val="accent2"/>
            </a:solidFill>
            <a:ln>
              <a:noFill/>
            </a:ln>
            <a:effectLst/>
          </c:spPr>
          <c:invertIfNegative val="0"/>
          <c:cat>
            <c:strRef>
              <c:f>'GRAPHS DATA'!$A$37:$A$41</c:f>
              <c:strCache>
                <c:ptCount val="5"/>
                <c:pt idx="0">
                  <c:v>Healthcare</c:v>
                </c:pt>
                <c:pt idx="1">
                  <c:v>Manufacturing</c:v>
                </c:pt>
                <c:pt idx="2">
                  <c:v>Construction</c:v>
                </c:pt>
                <c:pt idx="3">
                  <c:v>Wholesale/Retail</c:v>
                </c:pt>
                <c:pt idx="4">
                  <c:v>Restaurants</c:v>
                </c:pt>
              </c:strCache>
            </c:strRef>
          </c:cat>
          <c:val>
            <c:numRef>
              <c:f>'GRAPHS DATA'!$C$37:$C$41</c:f>
              <c:numCache>
                <c:formatCode>0%</c:formatCode>
                <c:ptCount val="5"/>
                <c:pt idx="0">
                  <c:v>0.74444444444444446</c:v>
                </c:pt>
                <c:pt idx="1">
                  <c:v>0.74333333333333329</c:v>
                </c:pt>
                <c:pt idx="2">
                  <c:v>0.73000000000000009</c:v>
                </c:pt>
                <c:pt idx="3">
                  <c:v>0.72727272727272718</c:v>
                </c:pt>
                <c:pt idx="4">
                  <c:v>0.68333333333333324</c:v>
                </c:pt>
              </c:numCache>
            </c:numRef>
          </c:val>
          <c:extLst xmlns:c16r2="http://schemas.microsoft.com/office/drawing/2015/06/chart">
            <c:ext xmlns:c16="http://schemas.microsoft.com/office/drawing/2014/chart" uri="{C3380CC4-5D6E-409C-BE32-E72D297353CC}">
              <c16:uniqueId val="{00000001-B9CC-488B-8A51-03AB691B8CC0}"/>
            </c:ext>
          </c:extLst>
        </c:ser>
        <c:dLbls>
          <c:showLegendKey val="0"/>
          <c:showVal val="0"/>
          <c:showCatName val="0"/>
          <c:showSerName val="0"/>
          <c:showPercent val="0"/>
          <c:showBubbleSize val="0"/>
        </c:dLbls>
        <c:gapWidth val="219"/>
        <c:overlap val="-27"/>
        <c:axId val="623313512"/>
        <c:axId val="453209008"/>
      </c:barChart>
      <c:catAx>
        <c:axId val="62331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53209008"/>
        <c:crosses val="autoZero"/>
        <c:auto val="1"/>
        <c:lblAlgn val="ctr"/>
        <c:lblOffset val="100"/>
        <c:noMultiLvlLbl val="0"/>
      </c:catAx>
      <c:valAx>
        <c:axId val="453209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23313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Figure 3: Anticipated Change in Employment for 2021</a:t>
            </a:r>
            <a:endParaRPr lang="en-US"/>
          </a:p>
        </c:rich>
      </c:tx>
      <c:layout>
        <c:manualLayout>
          <c:xMode val="edge"/>
          <c:yMode val="edge"/>
          <c:x val="0.10987351398622627"/>
          <c:y val="1.01163837686379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3"/>
          <c:order val="3"/>
          <c:tx>
            <c:strRef>
              <c:f>'GRAPHS DATA'!$L$12</c:f>
              <c:strCache>
                <c:ptCount val="1"/>
                <c:pt idx="0">
                  <c:v>2019</c:v>
                </c:pt>
              </c:strCache>
            </c:strRef>
          </c:tx>
          <c:spPr>
            <a:solidFill>
              <a:schemeClr val="accent4"/>
            </a:solidFill>
            <a:ln>
              <a:noFill/>
            </a:ln>
            <a:effectLst/>
          </c:spPr>
          <c:invertIfNegative val="0"/>
          <c:cat>
            <c:strRef>
              <c:f>'GRAPHS DATA'!$H$13:$H$17</c:f>
              <c:strCache>
                <c:ptCount val="5"/>
                <c:pt idx="0">
                  <c:v>less than 0%</c:v>
                </c:pt>
                <c:pt idx="1">
                  <c:v>from 0% to 1%</c:v>
                </c:pt>
                <c:pt idx="2">
                  <c:v>from 1.01% to 2%</c:v>
                </c:pt>
                <c:pt idx="3">
                  <c:v>from 2.01% to 3%</c:v>
                </c:pt>
                <c:pt idx="4">
                  <c:v>more than 3%</c:v>
                </c:pt>
              </c:strCache>
            </c:strRef>
          </c:cat>
          <c:val>
            <c:numRef>
              <c:f>'GRAPHS DATA'!$L$13:$L$17</c:f>
              <c:numCache>
                <c:formatCode>0%</c:formatCode>
                <c:ptCount val="5"/>
                <c:pt idx="0">
                  <c:v>2.8985507246376812E-2</c:v>
                </c:pt>
                <c:pt idx="1">
                  <c:v>0.48792270531400966</c:v>
                </c:pt>
                <c:pt idx="2">
                  <c:v>0.3671497584541063</c:v>
                </c:pt>
                <c:pt idx="3">
                  <c:v>5.7971014492753624E-2</c:v>
                </c:pt>
                <c:pt idx="4">
                  <c:v>5.7971014492753624E-2</c:v>
                </c:pt>
              </c:numCache>
            </c:numRef>
          </c:val>
          <c:extLst xmlns:c16r2="http://schemas.microsoft.com/office/drawing/2015/06/chart">
            <c:ext xmlns:c16="http://schemas.microsoft.com/office/drawing/2014/chart" uri="{C3380CC4-5D6E-409C-BE32-E72D297353CC}">
              <c16:uniqueId val="{00000000-1321-45FD-BD1D-6A25DD2CDE99}"/>
            </c:ext>
          </c:extLst>
        </c:ser>
        <c:ser>
          <c:idx val="4"/>
          <c:order val="4"/>
          <c:tx>
            <c:strRef>
              <c:f>'GRAPHS DATA'!$M$12</c:f>
              <c:strCache>
                <c:ptCount val="1"/>
                <c:pt idx="0">
                  <c:v>2020</c:v>
                </c:pt>
              </c:strCache>
            </c:strRef>
          </c:tx>
          <c:spPr>
            <a:solidFill>
              <a:schemeClr val="accent5"/>
            </a:solidFill>
            <a:ln>
              <a:noFill/>
            </a:ln>
            <a:effectLst/>
          </c:spPr>
          <c:invertIfNegative val="0"/>
          <c:cat>
            <c:strRef>
              <c:f>'GRAPHS DATA'!$H$13:$H$17</c:f>
              <c:strCache>
                <c:ptCount val="5"/>
                <c:pt idx="0">
                  <c:v>less than 0%</c:v>
                </c:pt>
                <c:pt idx="1">
                  <c:v>from 0% to 1%</c:v>
                </c:pt>
                <c:pt idx="2">
                  <c:v>from 1.01% to 2%</c:v>
                </c:pt>
                <c:pt idx="3">
                  <c:v>from 2.01% to 3%</c:v>
                </c:pt>
                <c:pt idx="4">
                  <c:v>more than 3%</c:v>
                </c:pt>
              </c:strCache>
            </c:strRef>
          </c:cat>
          <c:val>
            <c:numRef>
              <c:f>'GRAPHS DATA'!$M$13:$M$17</c:f>
              <c:numCache>
                <c:formatCode>0%</c:formatCode>
                <c:ptCount val="5"/>
                <c:pt idx="0">
                  <c:v>5.1020408163265307E-2</c:v>
                </c:pt>
                <c:pt idx="1">
                  <c:v>0.7857142857142857</c:v>
                </c:pt>
                <c:pt idx="2">
                  <c:v>8.1632653061224483E-2</c:v>
                </c:pt>
                <c:pt idx="3">
                  <c:v>4.0816326530612242E-2</c:v>
                </c:pt>
                <c:pt idx="4">
                  <c:v>4.0816326530612242E-2</c:v>
                </c:pt>
              </c:numCache>
            </c:numRef>
          </c:val>
          <c:extLst xmlns:c16r2="http://schemas.microsoft.com/office/drawing/2015/06/chart">
            <c:ext xmlns:c16="http://schemas.microsoft.com/office/drawing/2014/chart" uri="{C3380CC4-5D6E-409C-BE32-E72D297353CC}">
              <c16:uniqueId val="{00000001-1321-45FD-BD1D-6A25DD2CDE99}"/>
            </c:ext>
          </c:extLst>
        </c:ser>
        <c:ser>
          <c:idx val="5"/>
          <c:order val="5"/>
          <c:tx>
            <c:strRef>
              <c:f>'GRAPHS DATA'!$N$12</c:f>
              <c:strCache>
                <c:ptCount val="1"/>
                <c:pt idx="0">
                  <c:v>2021</c:v>
                </c:pt>
              </c:strCache>
            </c:strRef>
          </c:tx>
          <c:spPr>
            <a:solidFill>
              <a:schemeClr val="accent6"/>
            </a:solidFill>
            <a:ln>
              <a:noFill/>
            </a:ln>
            <a:effectLst/>
          </c:spPr>
          <c:invertIfNegative val="0"/>
          <c:cat>
            <c:strRef>
              <c:f>'GRAPHS DATA'!$H$13:$H$17</c:f>
              <c:strCache>
                <c:ptCount val="5"/>
                <c:pt idx="0">
                  <c:v>less than 0%</c:v>
                </c:pt>
                <c:pt idx="1">
                  <c:v>from 0% to 1%</c:v>
                </c:pt>
                <c:pt idx="2">
                  <c:v>from 1.01% to 2%</c:v>
                </c:pt>
                <c:pt idx="3">
                  <c:v>from 2.01% to 3%</c:v>
                </c:pt>
                <c:pt idx="4">
                  <c:v>more than 3%</c:v>
                </c:pt>
              </c:strCache>
            </c:strRef>
          </c:cat>
          <c:val>
            <c:numRef>
              <c:f>'GRAPHS DATA'!$N$13:$N$17</c:f>
              <c:numCache>
                <c:formatCode>0%</c:formatCode>
                <c:ptCount val="5"/>
                <c:pt idx="0">
                  <c:v>0.22</c:v>
                </c:pt>
                <c:pt idx="1">
                  <c:v>8.666666666666667E-2</c:v>
                </c:pt>
                <c:pt idx="2">
                  <c:v>8.666666666666667E-2</c:v>
                </c:pt>
                <c:pt idx="3">
                  <c:v>0.12666666666666668</c:v>
                </c:pt>
                <c:pt idx="4">
                  <c:v>0.48</c:v>
                </c:pt>
              </c:numCache>
            </c:numRef>
          </c:val>
          <c:extLst xmlns:c16r2="http://schemas.microsoft.com/office/drawing/2015/06/chart">
            <c:ext xmlns:c16="http://schemas.microsoft.com/office/drawing/2014/chart" uri="{C3380CC4-5D6E-409C-BE32-E72D297353CC}">
              <c16:uniqueId val="{00000002-1321-45FD-BD1D-6A25DD2CDE99}"/>
            </c:ext>
          </c:extLst>
        </c:ser>
        <c:dLbls>
          <c:showLegendKey val="0"/>
          <c:showVal val="0"/>
          <c:showCatName val="0"/>
          <c:showSerName val="0"/>
          <c:showPercent val="0"/>
          <c:showBubbleSize val="0"/>
        </c:dLbls>
        <c:gapWidth val="219"/>
        <c:overlap val="-27"/>
        <c:axId val="453207832"/>
        <c:axId val="62331312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'GRAPHS DATA'!$I$12</c15:sqref>
                        </c15:formulaRef>
                      </c:ext>
                    </c:extLst>
                    <c:strCache>
                      <c:ptCount val="1"/>
                      <c:pt idx="0">
                        <c:v>2016</c:v>
                      </c:pt>
                    </c:strCache>
                  </c:strRef>
                </c:tx>
                <c:spPr>
                  <a:solidFill>
                    <a:schemeClr val="accent1"/>
                  </a:solidFill>
                  <a:ln>
                    <a:noFill/>
                  </a:ln>
                  <a:effectLst/>
                </c:spPr>
                <c:invertIfNegative val="0"/>
                <c:cat>
                  <c:strRef>
                    <c:extLst xmlns:c16r2="http://schemas.microsoft.com/office/drawing/2015/06/chart">
                      <c:ext uri="{02D57815-91ED-43cb-92C2-25804820EDAC}">
                        <c15:formulaRef>
                          <c15:sqref>'GRAPHS DATA'!$H$13:$H$17</c15:sqref>
                        </c15:formulaRef>
                      </c:ext>
                    </c:extLst>
                    <c:strCache>
                      <c:ptCount val="5"/>
                      <c:pt idx="0">
                        <c:v>less than 0%</c:v>
                      </c:pt>
                      <c:pt idx="1">
                        <c:v>from 0% to 1%</c:v>
                      </c:pt>
                      <c:pt idx="2">
                        <c:v>from 1.01% to 2%</c:v>
                      </c:pt>
                      <c:pt idx="3">
                        <c:v>from 2.01% to 3%</c:v>
                      </c:pt>
                      <c:pt idx="4">
                        <c:v>more than 3%</c:v>
                      </c:pt>
                    </c:strCache>
                  </c:strRef>
                </c:cat>
                <c:val>
                  <c:numRef>
                    <c:extLst xmlns:c16r2="http://schemas.microsoft.com/office/drawing/2015/06/chart">
                      <c:ext uri="{02D57815-91ED-43cb-92C2-25804820EDAC}">
                        <c15:formulaRef>
                          <c15:sqref>'GRAPHS DATA'!$I$13:$I$17</c15:sqref>
                        </c15:formulaRef>
                      </c:ext>
                    </c:extLst>
                    <c:numCache>
                      <c:formatCode>0%</c:formatCode>
                      <c:ptCount val="5"/>
                      <c:pt idx="0">
                        <c:v>1.6666666666666666E-2</c:v>
                      </c:pt>
                      <c:pt idx="1">
                        <c:v>0.1388888888888889</c:v>
                      </c:pt>
                      <c:pt idx="2">
                        <c:v>0.27777777777777779</c:v>
                      </c:pt>
                      <c:pt idx="3">
                        <c:v>0.2388888888888889</c:v>
                      </c:pt>
                      <c:pt idx="4">
                        <c:v>0.32777777777777778</c:v>
                      </c:pt>
                    </c:numCache>
                  </c:numRef>
                </c:val>
                <c:extLst xmlns:c16r2="http://schemas.microsoft.com/office/drawing/2015/06/chart">
                  <c:ext xmlns:c16="http://schemas.microsoft.com/office/drawing/2014/chart" uri="{C3380CC4-5D6E-409C-BE32-E72D297353CC}">
                    <c16:uniqueId val="{00000003-1321-45FD-BD1D-6A25DD2CDE99}"/>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'GRAPHS DATA'!$J$12</c15:sqref>
                        </c15:formulaRef>
                      </c:ext>
                    </c:extLst>
                    <c:strCache>
                      <c:ptCount val="1"/>
                      <c:pt idx="0">
                        <c:v>2017</c:v>
                      </c:pt>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'GRAPHS DATA'!$H$13:$H$17</c15:sqref>
                        </c15:formulaRef>
                      </c:ext>
                    </c:extLst>
                    <c:strCache>
                      <c:ptCount val="5"/>
                      <c:pt idx="0">
                        <c:v>less than 0%</c:v>
                      </c:pt>
                      <c:pt idx="1">
                        <c:v>from 0% to 1%</c:v>
                      </c:pt>
                      <c:pt idx="2">
                        <c:v>from 1.01% to 2%</c:v>
                      </c:pt>
                      <c:pt idx="3">
                        <c:v>from 2.01% to 3%</c:v>
                      </c:pt>
                      <c:pt idx="4">
                        <c:v>more than 3%</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'GRAPHS DATA'!$J$13:$J$17</c15:sqref>
                        </c15:formulaRef>
                      </c:ext>
                    </c:extLst>
                    <c:numCache>
                      <c:formatCode>0%</c:formatCode>
                      <c:ptCount val="5"/>
                      <c:pt idx="0">
                        <c:v>4.2553191489361701E-2</c:v>
                      </c:pt>
                      <c:pt idx="1">
                        <c:v>0.20567375886524822</c:v>
                      </c:pt>
                      <c:pt idx="2">
                        <c:v>0.31914893617021278</c:v>
                      </c:pt>
                      <c:pt idx="3">
                        <c:v>0.29078014184397161</c:v>
                      </c:pt>
                      <c:pt idx="4">
                        <c:v>0.14184397163120568</c:v>
                      </c:pt>
                    </c:numCache>
                  </c:numRef>
                </c:val>
                <c:extLst xmlns:c15="http://schemas.microsoft.com/office/drawing/2012/chart" xmlns:c16r2="http://schemas.microsoft.com/office/drawing/2015/06/chart">
                  <c:ext xmlns:c16="http://schemas.microsoft.com/office/drawing/2014/chart" uri="{C3380CC4-5D6E-409C-BE32-E72D297353CC}">
                    <c16:uniqueId val="{00000004-1321-45FD-BD1D-6A25DD2CDE99}"/>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'GRAPHS DATA'!$K$12</c15:sqref>
                        </c15:formulaRef>
                      </c:ext>
                    </c:extLst>
                    <c:strCache>
                      <c:ptCount val="1"/>
                      <c:pt idx="0">
                        <c:v>2018</c:v>
                      </c:pt>
                    </c:strCache>
                  </c:strRef>
                </c:tx>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'GRAPHS DATA'!$H$13:$H$17</c15:sqref>
                        </c15:formulaRef>
                      </c:ext>
                    </c:extLst>
                    <c:strCache>
                      <c:ptCount val="5"/>
                      <c:pt idx="0">
                        <c:v>less than 0%</c:v>
                      </c:pt>
                      <c:pt idx="1">
                        <c:v>from 0% to 1%</c:v>
                      </c:pt>
                      <c:pt idx="2">
                        <c:v>from 1.01% to 2%</c:v>
                      </c:pt>
                      <c:pt idx="3">
                        <c:v>from 2.01% to 3%</c:v>
                      </c:pt>
                      <c:pt idx="4">
                        <c:v>more than 3%</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'GRAPHS DATA'!$K$13:$K$17</c15:sqref>
                        </c15:formulaRef>
                      </c:ext>
                    </c:extLst>
                    <c:numCache>
                      <c:formatCode>0%</c:formatCode>
                      <c:ptCount val="5"/>
                      <c:pt idx="0">
                        <c:v>1.4778325123152709E-2</c:v>
                      </c:pt>
                      <c:pt idx="1">
                        <c:v>0.2019704433497537</c:v>
                      </c:pt>
                      <c:pt idx="2">
                        <c:v>0.42364532019704432</c:v>
                      </c:pt>
                      <c:pt idx="3">
                        <c:v>0.25615763546798032</c:v>
                      </c:pt>
                      <c:pt idx="4">
                        <c:v>0.10344827586206896</c:v>
                      </c:pt>
                    </c:numCache>
                  </c:numRef>
                </c:val>
                <c:extLst xmlns:c15="http://schemas.microsoft.com/office/drawing/2012/chart" xmlns:c16r2="http://schemas.microsoft.com/office/drawing/2015/06/chart">
                  <c:ext xmlns:c16="http://schemas.microsoft.com/office/drawing/2014/chart" uri="{C3380CC4-5D6E-409C-BE32-E72D297353CC}">
                    <c16:uniqueId val="{00000005-1321-45FD-BD1D-6A25DD2CDE99}"/>
                  </c:ext>
                </c:extLst>
              </c15:ser>
            </c15:filteredBarSeries>
          </c:ext>
        </c:extLst>
      </c:barChart>
      <c:catAx>
        <c:axId val="45320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313120"/>
        <c:crosses val="autoZero"/>
        <c:auto val="1"/>
        <c:lblAlgn val="ctr"/>
        <c:lblOffset val="100"/>
        <c:noMultiLvlLbl val="0"/>
      </c:catAx>
      <c:valAx>
        <c:axId val="623313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207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4: Anticipated Change in Sales for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3"/>
          <c:order val="3"/>
          <c:tx>
            <c:strRef>
              <c:f>'GRAPHS DATA'!$L$2</c:f>
              <c:strCache>
                <c:ptCount val="1"/>
                <c:pt idx="0">
                  <c:v>2019</c:v>
                </c:pt>
              </c:strCache>
            </c:strRef>
          </c:tx>
          <c:spPr>
            <a:solidFill>
              <a:schemeClr val="accent4"/>
            </a:solidFill>
            <a:ln>
              <a:noFill/>
            </a:ln>
            <a:effectLst/>
          </c:spPr>
          <c:invertIfNegative val="0"/>
          <c:cat>
            <c:strRef>
              <c:f>'GRAPHS DATA'!$H$3:$H$7</c:f>
              <c:strCache>
                <c:ptCount val="5"/>
                <c:pt idx="0">
                  <c:v>less than 0%</c:v>
                </c:pt>
                <c:pt idx="1">
                  <c:v>from 0% to 1%</c:v>
                </c:pt>
                <c:pt idx="2">
                  <c:v>from 1.01% to 2%</c:v>
                </c:pt>
                <c:pt idx="3">
                  <c:v>from 2.01% to 3%</c:v>
                </c:pt>
                <c:pt idx="4">
                  <c:v>more than 3%</c:v>
                </c:pt>
              </c:strCache>
            </c:strRef>
          </c:cat>
          <c:val>
            <c:numRef>
              <c:f>'GRAPHS DATA'!$L$3:$L$7</c:f>
              <c:numCache>
                <c:formatCode>0%</c:formatCode>
                <c:ptCount val="5"/>
                <c:pt idx="0">
                  <c:v>3.8095238095238099E-2</c:v>
                </c:pt>
                <c:pt idx="1">
                  <c:v>0.1</c:v>
                </c:pt>
                <c:pt idx="2">
                  <c:v>0.20952380952380953</c:v>
                </c:pt>
                <c:pt idx="3">
                  <c:v>0.29523809523809524</c:v>
                </c:pt>
                <c:pt idx="4">
                  <c:v>0.35714285714285715</c:v>
                </c:pt>
              </c:numCache>
            </c:numRef>
          </c:val>
          <c:extLst xmlns:c16r2="http://schemas.microsoft.com/office/drawing/2015/06/chart">
            <c:ext xmlns:c16="http://schemas.microsoft.com/office/drawing/2014/chart" uri="{C3380CC4-5D6E-409C-BE32-E72D297353CC}">
              <c16:uniqueId val="{00000000-4B70-41FF-AA0B-7AF79FC92F6E}"/>
            </c:ext>
          </c:extLst>
        </c:ser>
        <c:ser>
          <c:idx val="4"/>
          <c:order val="4"/>
          <c:tx>
            <c:strRef>
              <c:f>'GRAPHS DATA'!$M$2</c:f>
              <c:strCache>
                <c:ptCount val="1"/>
                <c:pt idx="0">
                  <c:v>2020</c:v>
                </c:pt>
              </c:strCache>
            </c:strRef>
          </c:tx>
          <c:spPr>
            <a:solidFill>
              <a:schemeClr val="accent5"/>
            </a:solidFill>
            <a:ln>
              <a:noFill/>
            </a:ln>
            <a:effectLst/>
          </c:spPr>
          <c:invertIfNegative val="0"/>
          <c:cat>
            <c:strRef>
              <c:f>'GRAPHS DATA'!$H$3:$H$7</c:f>
              <c:strCache>
                <c:ptCount val="5"/>
                <c:pt idx="0">
                  <c:v>less than 0%</c:v>
                </c:pt>
                <c:pt idx="1">
                  <c:v>from 0% to 1%</c:v>
                </c:pt>
                <c:pt idx="2">
                  <c:v>from 1.01% to 2%</c:v>
                </c:pt>
                <c:pt idx="3">
                  <c:v>from 2.01% to 3%</c:v>
                </c:pt>
                <c:pt idx="4">
                  <c:v>more than 3%</c:v>
                </c:pt>
              </c:strCache>
            </c:strRef>
          </c:cat>
          <c:val>
            <c:numRef>
              <c:f>'GRAPHS DATA'!$M$3:$M$7</c:f>
              <c:numCache>
                <c:formatCode>0%</c:formatCode>
                <c:ptCount val="5"/>
                <c:pt idx="0">
                  <c:v>3.3149171270718231E-2</c:v>
                </c:pt>
                <c:pt idx="1">
                  <c:v>0.18232044198895028</c:v>
                </c:pt>
                <c:pt idx="2">
                  <c:v>0.24861878453038674</c:v>
                </c:pt>
                <c:pt idx="3">
                  <c:v>0.32596685082872928</c:v>
                </c:pt>
                <c:pt idx="4">
                  <c:v>0.20994475138121546</c:v>
                </c:pt>
              </c:numCache>
            </c:numRef>
          </c:val>
          <c:extLst xmlns:c16r2="http://schemas.microsoft.com/office/drawing/2015/06/chart">
            <c:ext xmlns:c16="http://schemas.microsoft.com/office/drawing/2014/chart" uri="{C3380CC4-5D6E-409C-BE32-E72D297353CC}">
              <c16:uniqueId val="{00000001-4B70-41FF-AA0B-7AF79FC92F6E}"/>
            </c:ext>
          </c:extLst>
        </c:ser>
        <c:ser>
          <c:idx val="5"/>
          <c:order val="5"/>
          <c:tx>
            <c:strRef>
              <c:f>'GRAPHS DATA'!$N$2</c:f>
              <c:strCache>
                <c:ptCount val="1"/>
                <c:pt idx="0">
                  <c:v>2021</c:v>
                </c:pt>
              </c:strCache>
            </c:strRef>
          </c:tx>
          <c:spPr>
            <a:solidFill>
              <a:schemeClr val="accent6"/>
            </a:solidFill>
            <a:ln>
              <a:noFill/>
            </a:ln>
            <a:effectLst/>
          </c:spPr>
          <c:invertIfNegative val="0"/>
          <c:cat>
            <c:strRef>
              <c:f>'GRAPHS DATA'!$H$3:$H$7</c:f>
              <c:strCache>
                <c:ptCount val="5"/>
                <c:pt idx="0">
                  <c:v>less than 0%</c:v>
                </c:pt>
                <c:pt idx="1">
                  <c:v>from 0% to 1%</c:v>
                </c:pt>
                <c:pt idx="2">
                  <c:v>from 1.01% to 2%</c:v>
                </c:pt>
                <c:pt idx="3">
                  <c:v>from 2.01% to 3%</c:v>
                </c:pt>
                <c:pt idx="4">
                  <c:v>more than 3%</c:v>
                </c:pt>
              </c:strCache>
            </c:strRef>
          </c:cat>
          <c:val>
            <c:numRef>
              <c:f>'GRAPHS DATA'!$N$3:$N$7</c:f>
              <c:numCache>
                <c:formatCode>0%</c:formatCode>
                <c:ptCount val="5"/>
                <c:pt idx="0">
                  <c:v>0.18543046357615894</c:v>
                </c:pt>
                <c:pt idx="1">
                  <c:v>0.27814569536423839</c:v>
                </c:pt>
                <c:pt idx="2">
                  <c:v>0.19867549668874171</c:v>
                </c:pt>
                <c:pt idx="3">
                  <c:v>0.16556291390728478</c:v>
                </c:pt>
                <c:pt idx="4">
                  <c:v>0.17218543046357615</c:v>
                </c:pt>
              </c:numCache>
            </c:numRef>
          </c:val>
          <c:extLst xmlns:c16r2="http://schemas.microsoft.com/office/drawing/2015/06/chart">
            <c:ext xmlns:c16="http://schemas.microsoft.com/office/drawing/2014/chart" uri="{C3380CC4-5D6E-409C-BE32-E72D297353CC}">
              <c16:uniqueId val="{00000002-4B70-41FF-AA0B-7AF79FC92F6E}"/>
            </c:ext>
          </c:extLst>
        </c:ser>
        <c:dLbls>
          <c:showLegendKey val="0"/>
          <c:showVal val="0"/>
          <c:showCatName val="0"/>
          <c:showSerName val="0"/>
          <c:showPercent val="0"/>
          <c:showBubbleSize val="0"/>
        </c:dLbls>
        <c:gapWidth val="219"/>
        <c:overlap val="-27"/>
        <c:axId val="624822760"/>
        <c:axId val="62482158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'GRAPHS DATA'!$I$2</c15:sqref>
                        </c15:formulaRef>
                      </c:ext>
                    </c:extLst>
                    <c:strCache>
                      <c:ptCount val="1"/>
                      <c:pt idx="0">
                        <c:v>2016</c:v>
                      </c:pt>
                    </c:strCache>
                  </c:strRef>
                </c:tx>
                <c:spPr>
                  <a:solidFill>
                    <a:schemeClr val="accent1"/>
                  </a:solidFill>
                  <a:ln>
                    <a:noFill/>
                  </a:ln>
                  <a:effectLst/>
                </c:spPr>
                <c:invertIfNegative val="0"/>
                <c:cat>
                  <c:strRef>
                    <c:extLst xmlns:c16r2="http://schemas.microsoft.com/office/drawing/2015/06/chart">
                      <c:ext uri="{02D57815-91ED-43cb-92C2-25804820EDAC}">
                        <c15:formulaRef>
                          <c15:sqref>'GRAPHS DATA'!$H$3:$H$7</c15:sqref>
                        </c15:formulaRef>
                      </c:ext>
                    </c:extLst>
                    <c:strCache>
                      <c:ptCount val="5"/>
                      <c:pt idx="0">
                        <c:v>less than 0%</c:v>
                      </c:pt>
                      <c:pt idx="1">
                        <c:v>from 0% to 1%</c:v>
                      </c:pt>
                      <c:pt idx="2">
                        <c:v>from 1.01% to 2%</c:v>
                      </c:pt>
                      <c:pt idx="3">
                        <c:v>from 2.01% to 3%</c:v>
                      </c:pt>
                      <c:pt idx="4">
                        <c:v>more than 3%</c:v>
                      </c:pt>
                    </c:strCache>
                  </c:strRef>
                </c:cat>
                <c:val>
                  <c:numRef>
                    <c:extLst xmlns:c16r2="http://schemas.microsoft.com/office/drawing/2015/06/chart">
                      <c:ext uri="{02D57815-91ED-43cb-92C2-25804820EDAC}">
                        <c15:formulaRef>
                          <c15:sqref>'GRAPHS DATA'!$I$3:$I$7</c15:sqref>
                        </c15:formulaRef>
                      </c:ext>
                    </c:extLst>
                    <c:numCache>
                      <c:formatCode>0%</c:formatCode>
                      <c:ptCount val="5"/>
                      <c:pt idx="0">
                        <c:v>1.0810810810810811E-2</c:v>
                      </c:pt>
                      <c:pt idx="1">
                        <c:v>0.18378378378378379</c:v>
                      </c:pt>
                      <c:pt idx="2">
                        <c:v>0.34594594594594597</c:v>
                      </c:pt>
                      <c:pt idx="3">
                        <c:v>0.22702702702702704</c:v>
                      </c:pt>
                      <c:pt idx="4">
                        <c:v>0.23243243243243245</c:v>
                      </c:pt>
                    </c:numCache>
                  </c:numRef>
                </c:val>
                <c:extLst xmlns:c16r2="http://schemas.microsoft.com/office/drawing/2015/06/chart">
                  <c:ext xmlns:c16="http://schemas.microsoft.com/office/drawing/2014/chart" uri="{C3380CC4-5D6E-409C-BE32-E72D297353CC}">
                    <c16:uniqueId val="{00000003-4B70-41FF-AA0B-7AF79FC92F6E}"/>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'GRAPHS DATA'!$J$2</c15:sqref>
                        </c15:formulaRef>
                      </c:ext>
                    </c:extLst>
                    <c:strCache>
                      <c:ptCount val="1"/>
                      <c:pt idx="0">
                        <c:v>2017</c:v>
                      </c:pt>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'GRAPHS DATA'!$H$3:$H$7</c15:sqref>
                        </c15:formulaRef>
                      </c:ext>
                    </c:extLst>
                    <c:strCache>
                      <c:ptCount val="5"/>
                      <c:pt idx="0">
                        <c:v>less than 0%</c:v>
                      </c:pt>
                      <c:pt idx="1">
                        <c:v>from 0% to 1%</c:v>
                      </c:pt>
                      <c:pt idx="2">
                        <c:v>from 1.01% to 2%</c:v>
                      </c:pt>
                      <c:pt idx="3">
                        <c:v>from 2.01% to 3%</c:v>
                      </c:pt>
                      <c:pt idx="4">
                        <c:v>more than 3%</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'GRAPHS DATA'!$J$3:$J$7</c15:sqref>
                        </c15:formulaRef>
                      </c:ext>
                    </c:extLst>
                    <c:numCache>
                      <c:formatCode>0%</c:formatCode>
                      <c:ptCount val="5"/>
                      <c:pt idx="0">
                        <c:v>2.8169014084507043E-2</c:v>
                      </c:pt>
                      <c:pt idx="1">
                        <c:v>8.4507042253521125E-2</c:v>
                      </c:pt>
                      <c:pt idx="2">
                        <c:v>0.23239436619718309</c:v>
                      </c:pt>
                      <c:pt idx="3">
                        <c:v>0.37323943661971831</c:v>
                      </c:pt>
                      <c:pt idx="4">
                        <c:v>0.28169014084507044</c:v>
                      </c:pt>
                    </c:numCache>
                  </c:numRef>
                </c:val>
                <c:extLst xmlns:c15="http://schemas.microsoft.com/office/drawing/2012/chart" xmlns:c16r2="http://schemas.microsoft.com/office/drawing/2015/06/chart">
                  <c:ext xmlns:c16="http://schemas.microsoft.com/office/drawing/2014/chart" uri="{C3380CC4-5D6E-409C-BE32-E72D297353CC}">
                    <c16:uniqueId val="{00000004-4B70-41FF-AA0B-7AF79FC92F6E}"/>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'GRAPHS DATA'!$K$2</c15:sqref>
                        </c15:formulaRef>
                      </c:ext>
                    </c:extLst>
                    <c:strCache>
                      <c:ptCount val="1"/>
                      <c:pt idx="0">
                        <c:v>2018</c:v>
                      </c:pt>
                    </c:strCache>
                  </c:strRef>
                </c:tx>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'GRAPHS DATA'!$H$3:$H$7</c15:sqref>
                        </c15:formulaRef>
                      </c:ext>
                    </c:extLst>
                    <c:strCache>
                      <c:ptCount val="5"/>
                      <c:pt idx="0">
                        <c:v>less than 0%</c:v>
                      </c:pt>
                      <c:pt idx="1">
                        <c:v>from 0% to 1%</c:v>
                      </c:pt>
                      <c:pt idx="2">
                        <c:v>from 1.01% to 2%</c:v>
                      </c:pt>
                      <c:pt idx="3">
                        <c:v>from 2.01% to 3%</c:v>
                      </c:pt>
                      <c:pt idx="4">
                        <c:v>more than 3%</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'GRAPHS DATA'!$K$3:$K$7</c15:sqref>
                        </c15:formulaRef>
                      </c:ext>
                    </c:extLst>
                    <c:numCache>
                      <c:formatCode>0%</c:formatCode>
                      <c:ptCount val="5"/>
                      <c:pt idx="0">
                        <c:v>2.8985507246376812E-2</c:v>
                      </c:pt>
                      <c:pt idx="1">
                        <c:v>8.6956521739130432E-2</c:v>
                      </c:pt>
                      <c:pt idx="2">
                        <c:v>0.19806763285024154</c:v>
                      </c:pt>
                      <c:pt idx="3">
                        <c:v>0.26570048309178745</c:v>
                      </c:pt>
                      <c:pt idx="4">
                        <c:v>0.42028985507246375</c:v>
                      </c:pt>
                    </c:numCache>
                  </c:numRef>
                </c:val>
                <c:extLst xmlns:c15="http://schemas.microsoft.com/office/drawing/2012/chart" xmlns:c16r2="http://schemas.microsoft.com/office/drawing/2015/06/chart">
                  <c:ext xmlns:c16="http://schemas.microsoft.com/office/drawing/2014/chart" uri="{C3380CC4-5D6E-409C-BE32-E72D297353CC}">
                    <c16:uniqueId val="{00000005-4B70-41FF-AA0B-7AF79FC92F6E}"/>
                  </c:ext>
                </c:extLst>
              </c15:ser>
            </c15:filteredBarSeries>
          </c:ext>
        </c:extLst>
      </c:barChart>
      <c:catAx>
        <c:axId val="62482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821584"/>
        <c:crosses val="autoZero"/>
        <c:auto val="1"/>
        <c:lblAlgn val="ctr"/>
        <c:lblOffset val="100"/>
        <c:noMultiLvlLbl val="0"/>
      </c:catAx>
      <c:valAx>
        <c:axId val="62482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822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E8B8-EA6C-4F73-9062-8C22A18A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Isely</dc:creator>
  <cp:keywords/>
  <cp:lastModifiedBy>Pat Moody</cp:lastModifiedBy>
  <cp:revision>2</cp:revision>
  <cp:lastPrinted>2021-01-07T17:04:00Z</cp:lastPrinted>
  <dcterms:created xsi:type="dcterms:W3CDTF">2021-01-14T17:03:00Z</dcterms:created>
  <dcterms:modified xsi:type="dcterms:W3CDTF">2021-01-14T17:03:00Z</dcterms:modified>
</cp:coreProperties>
</file>